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987" w:rsidRPr="00A80C43" w:rsidRDefault="00EE1F91">
      <w:pPr>
        <w:rPr>
          <w:rFonts w:ascii="Times New Roman" w:hAnsi="Times New Roman" w:cs="Times New Roman"/>
          <w:b/>
          <w:i/>
          <w:sz w:val="28"/>
        </w:rPr>
      </w:pPr>
      <w:bookmarkStart w:id="0" w:name="_GoBack"/>
      <w:bookmarkEnd w:id="0"/>
      <w:r w:rsidRPr="00A80C43">
        <w:rPr>
          <w:rFonts w:ascii="Times New Roman" w:hAnsi="Times New Roman" w:cs="Times New Roman"/>
          <w:b/>
          <w:i/>
          <w:sz w:val="28"/>
        </w:rPr>
        <w:t>Out of State Transfers and Eligibility</w:t>
      </w:r>
    </w:p>
    <w:p w:rsidR="00EE1F91" w:rsidRDefault="00EE1F91" w:rsidP="00A80C43">
      <w:pPr>
        <w:spacing w:after="0" w:line="240" w:lineRule="auto"/>
        <w:contextualSpacing/>
        <w:rPr>
          <w:rFonts w:ascii="Times New Roman" w:hAnsi="Times New Roman" w:cs="Times New Roman"/>
          <w:sz w:val="24"/>
        </w:rPr>
      </w:pPr>
      <w:r w:rsidRPr="00A80C43">
        <w:rPr>
          <w:rFonts w:ascii="Times New Roman" w:hAnsi="Times New Roman" w:cs="Times New Roman"/>
          <w:sz w:val="24"/>
        </w:rPr>
        <w:t xml:space="preserve">Under </w:t>
      </w:r>
      <w:hyperlink r:id="rId7" w:history="1">
        <w:r w:rsidRPr="00A80C43">
          <w:rPr>
            <w:rStyle w:val="Hyperlink"/>
            <w:rFonts w:ascii="Times New Roman" w:hAnsi="Times New Roman" w:cs="Times New Roman"/>
            <w:sz w:val="24"/>
          </w:rPr>
          <w:t>34 CFR §300.323(f)</w:t>
        </w:r>
      </w:hyperlink>
      <w:r w:rsidRPr="00A80C43">
        <w:rPr>
          <w:rFonts w:ascii="Times New Roman" w:hAnsi="Times New Roman" w:cs="Times New Roman"/>
          <w:sz w:val="24"/>
        </w:rPr>
        <w:t xml:space="preserve">, if a child with a disability (who had an IEP that was in effect in a previous public agency in another State) transfers to </w:t>
      </w:r>
      <w:r w:rsidR="00D22BBA">
        <w:rPr>
          <w:rFonts w:ascii="Times New Roman" w:hAnsi="Times New Roman" w:cs="Times New Roman"/>
          <w:sz w:val="24"/>
        </w:rPr>
        <w:t xml:space="preserve">and enrolls in </w:t>
      </w:r>
      <w:r w:rsidRPr="00A80C43">
        <w:rPr>
          <w:rFonts w:ascii="Times New Roman" w:hAnsi="Times New Roman" w:cs="Times New Roman"/>
          <w:sz w:val="24"/>
        </w:rPr>
        <w:t xml:space="preserve">a </w:t>
      </w:r>
      <w:r w:rsidR="00D22BBA">
        <w:rPr>
          <w:rFonts w:ascii="Times New Roman" w:hAnsi="Times New Roman" w:cs="Times New Roman"/>
          <w:sz w:val="24"/>
        </w:rPr>
        <w:t xml:space="preserve">new school in a </w:t>
      </w:r>
      <w:r w:rsidRPr="00A80C43">
        <w:rPr>
          <w:rFonts w:ascii="Times New Roman" w:hAnsi="Times New Roman" w:cs="Times New Roman"/>
          <w:sz w:val="24"/>
        </w:rPr>
        <w:t xml:space="preserve">public agency in a new State within the same school year, the new public agency (in consultation with the parents) must provide the child with FAPE (including services comparable to those described in the child’s IEP from the previous public agency), until the new public agency: (1) conducts an evaluation pursuant to </w:t>
      </w:r>
      <w:hyperlink r:id="rId8" w:history="1">
        <w:r w:rsidRPr="00A80C43">
          <w:rPr>
            <w:rStyle w:val="Hyperlink"/>
            <w:rFonts w:ascii="Times New Roman" w:hAnsi="Times New Roman" w:cs="Times New Roman"/>
            <w:sz w:val="24"/>
          </w:rPr>
          <w:t>34 CFR §§300.304-300.306</w:t>
        </w:r>
      </w:hyperlink>
      <w:r w:rsidRPr="00A80C43">
        <w:rPr>
          <w:rFonts w:ascii="Times New Roman" w:hAnsi="Times New Roman" w:cs="Times New Roman"/>
          <w:sz w:val="24"/>
        </w:rPr>
        <w:t xml:space="preserve"> (if determined to be necessary by the new public agency); and (2) develops, adopts, and implements a new IEP, if appropriate, that meets the applicable requirements in </w:t>
      </w:r>
      <w:hyperlink r:id="rId9" w:history="1">
        <w:r w:rsidRPr="00A80C43">
          <w:rPr>
            <w:rStyle w:val="Hyperlink"/>
            <w:rFonts w:ascii="Times New Roman" w:hAnsi="Times New Roman" w:cs="Times New Roman"/>
            <w:sz w:val="24"/>
          </w:rPr>
          <w:t>34 CFR §§300.320-300.324</w:t>
        </w:r>
      </w:hyperlink>
      <w:r w:rsidRPr="00A80C43">
        <w:rPr>
          <w:rFonts w:ascii="Times New Roman" w:hAnsi="Times New Roman" w:cs="Times New Roman"/>
          <w:sz w:val="24"/>
        </w:rPr>
        <w:t>.</w:t>
      </w:r>
    </w:p>
    <w:p w:rsidR="00A80C43" w:rsidRPr="00A80C43" w:rsidRDefault="00A80C43" w:rsidP="00A80C43">
      <w:pPr>
        <w:spacing w:after="0" w:line="240" w:lineRule="auto"/>
        <w:contextualSpacing/>
        <w:rPr>
          <w:rFonts w:ascii="Times New Roman" w:hAnsi="Times New Roman" w:cs="Times New Roman"/>
          <w:sz w:val="24"/>
        </w:rPr>
      </w:pPr>
    </w:p>
    <w:p w:rsidR="00C65A6B" w:rsidRDefault="00C65A6B" w:rsidP="00A80C43">
      <w:pPr>
        <w:spacing w:after="0" w:line="240" w:lineRule="auto"/>
        <w:contextualSpacing/>
        <w:rPr>
          <w:rFonts w:ascii="Times New Roman" w:hAnsi="Times New Roman" w:cs="Times New Roman"/>
          <w:sz w:val="24"/>
          <w:u w:val="single"/>
        </w:rPr>
      </w:pPr>
      <w:r w:rsidRPr="00A80C43">
        <w:rPr>
          <w:rFonts w:ascii="Times New Roman" w:hAnsi="Times New Roman" w:cs="Times New Roman"/>
          <w:sz w:val="24"/>
        </w:rPr>
        <w:t xml:space="preserve">The Part B regulations do not address specifically whether an evaluation is an initial evaluation or a reevaluation if that evaluation takes place after a public agency in a new </w:t>
      </w:r>
      <w:r w:rsidR="00252CFF">
        <w:rPr>
          <w:rFonts w:ascii="Times New Roman" w:hAnsi="Times New Roman" w:cs="Times New Roman"/>
          <w:sz w:val="24"/>
        </w:rPr>
        <w:t>S</w:t>
      </w:r>
      <w:r w:rsidRPr="00A80C43">
        <w:rPr>
          <w:rFonts w:ascii="Times New Roman" w:hAnsi="Times New Roman" w:cs="Times New Roman"/>
          <w:sz w:val="24"/>
        </w:rPr>
        <w:t xml:space="preserve">tate has begun to provide services to the child comparable to the services that the child received in the sending State. In alignment with </w:t>
      </w:r>
      <w:hyperlink r:id="rId10" w:history="1">
        <w:r w:rsidRPr="00A80C43">
          <w:rPr>
            <w:rStyle w:val="Hyperlink"/>
            <w:rFonts w:ascii="Times New Roman" w:hAnsi="Times New Roman" w:cs="Times New Roman"/>
            <w:sz w:val="24"/>
          </w:rPr>
          <w:t>71 FR 46682</w:t>
        </w:r>
      </w:hyperlink>
      <w:r w:rsidRPr="00A80C43">
        <w:rPr>
          <w:rFonts w:ascii="Times New Roman" w:hAnsi="Times New Roman" w:cs="Times New Roman"/>
          <w:sz w:val="24"/>
        </w:rPr>
        <w:t xml:space="preserve">, OSDE-SES agrees that </w:t>
      </w:r>
      <w:r w:rsidRPr="00A80C43">
        <w:rPr>
          <w:rFonts w:ascii="Times New Roman" w:hAnsi="Times New Roman" w:cs="Times New Roman"/>
          <w:sz w:val="24"/>
          <w:u w:val="single"/>
        </w:rPr>
        <w:t xml:space="preserve">the evaluation conducted by a new public agency in a new State, if determined to be necessary, </w:t>
      </w:r>
      <w:r w:rsidR="00E60BE8" w:rsidRPr="00A80C43">
        <w:rPr>
          <w:rFonts w:ascii="Times New Roman" w:hAnsi="Times New Roman" w:cs="Times New Roman"/>
          <w:sz w:val="24"/>
          <w:u w:val="single"/>
        </w:rPr>
        <w:t xml:space="preserve">is an initial evaluation. OSDE-SES also has </w:t>
      </w:r>
      <w:r w:rsidRPr="00A80C43">
        <w:rPr>
          <w:rFonts w:ascii="Times New Roman" w:hAnsi="Times New Roman" w:cs="Times New Roman"/>
          <w:sz w:val="24"/>
          <w:u w:val="single"/>
        </w:rPr>
        <w:t xml:space="preserve">determined that </w:t>
      </w:r>
      <w:r w:rsidR="00E60BE8" w:rsidRPr="00A80C43">
        <w:rPr>
          <w:rFonts w:ascii="Times New Roman" w:hAnsi="Times New Roman" w:cs="Times New Roman"/>
          <w:sz w:val="24"/>
          <w:u w:val="single"/>
        </w:rPr>
        <w:t xml:space="preserve">if </w:t>
      </w:r>
      <w:r w:rsidRPr="00A80C43">
        <w:rPr>
          <w:rFonts w:ascii="Times New Roman" w:hAnsi="Times New Roman" w:cs="Times New Roman"/>
          <w:sz w:val="24"/>
          <w:u w:val="single"/>
        </w:rPr>
        <w:t>an evaluation is not necessary, then the next scheduled eligibility would be a reevaluation.</w:t>
      </w:r>
    </w:p>
    <w:p w:rsidR="00A80C43" w:rsidRPr="00A80C43" w:rsidRDefault="00A80C43" w:rsidP="00A80C43">
      <w:pPr>
        <w:spacing w:after="0" w:line="240" w:lineRule="auto"/>
        <w:contextualSpacing/>
        <w:rPr>
          <w:rFonts w:ascii="Times New Roman" w:hAnsi="Times New Roman" w:cs="Times New Roman"/>
          <w:sz w:val="24"/>
        </w:rPr>
      </w:pPr>
    </w:p>
    <w:p w:rsidR="00ED3F90" w:rsidRPr="00A80C43" w:rsidRDefault="00ED3F90" w:rsidP="00A80C43">
      <w:pPr>
        <w:spacing w:after="0" w:line="240" w:lineRule="auto"/>
        <w:contextualSpacing/>
        <w:rPr>
          <w:rFonts w:ascii="Times New Roman" w:hAnsi="Times New Roman" w:cs="Times New Roman"/>
          <w:sz w:val="24"/>
        </w:rPr>
      </w:pPr>
      <w:r w:rsidRPr="00A80C43">
        <w:rPr>
          <w:rFonts w:ascii="Times New Roman" w:hAnsi="Times New Roman" w:cs="Times New Roman"/>
          <w:sz w:val="24"/>
        </w:rPr>
        <w:t xml:space="preserve">Note: The definition of </w:t>
      </w:r>
      <w:r w:rsidRPr="00A80C43">
        <w:rPr>
          <w:rFonts w:ascii="Times New Roman" w:hAnsi="Times New Roman" w:cs="Times New Roman"/>
          <w:b/>
          <w:i/>
          <w:sz w:val="24"/>
        </w:rPr>
        <w:t>evaluation</w:t>
      </w:r>
      <w:r w:rsidRPr="00A80C43">
        <w:rPr>
          <w:rFonts w:ascii="Times New Roman" w:hAnsi="Times New Roman" w:cs="Times New Roman"/>
          <w:sz w:val="24"/>
        </w:rPr>
        <w:t xml:space="preserve"> and </w:t>
      </w:r>
      <w:r w:rsidRPr="00A80C43">
        <w:rPr>
          <w:rFonts w:ascii="Times New Roman" w:hAnsi="Times New Roman" w:cs="Times New Roman"/>
          <w:b/>
          <w:i/>
          <w:sz w:val="24"/>
        </w:rPr>
        <w:t>assessment</w:t>
      </w:r>
      <w:r w:rsidRPr="00A80C43">
        <w:rPr>
          <w:rFonts w:ascii="Times New Roman" w:hAnsi="Times New Roman" w:cs="Times New Roman"/>
          <w:sz w:val="24"/>
        </w:rPr>
        <w:t xml:space="preserve"> are not the same. The </w:t>
      </w:r>
      <w:hyperlink r:id="rId11" w:anchor="page=66" w:history="1">
        <w:r w:rsidRPr="00A80C43">
          <w:rPr>
            <w:rStyle w:val="Hyperlink"/>
            <w:rFonts w:ascii="Times New Roman" w:hAnsi="Times New Roman" w:cs="Times New Roman"/>
            <w:sz w:val="24"/>
          </w:rPr>
          <w:t>Oklahoma Special Education Handbook</w:t>
        </w:r>
      </w:hyperlink>
      <w:r w:rsidRPr="00A80C43">
        <w:rPr>
          <w:rFonts w:ascii="Times New Roman" w:hAnsi="Times New Roman" w:cs="Times New Roman"/>
          <w:sz w:val="24"/>
        </w:rPr>
        <w:t xml:space="preserve"> clearly defines the difference between them.</w:t>
      </w:r>
    </w:p>
    <w:p w:rsidR="00EE1F91" w:rsidRPr="00A80C43" w:rsidRDefault="00EE1F91" w:rsidP="00EE1F91">
      <w:pPr>
        <w:rPr>
          <w:rFonts w:ascii="Times New Roman" w:hAnsi="Times New Roman" w:cs="Times New Roman"/>
        </w:rPr>
      </w:pPr>
    </w:p>
    <w:p w:rsidR="00C57AE5" w:rsidRPr="00A80C43" w:rsidRDefault="00ED3F90">
      <w:pPr>
        <w:rPr>
          <w:rFonts w:ascii="Times New Roman" w:hAnsi="Times New Roman" w:cs="Times New Roman"/>
          <w:b/>
          <w:i/>
          <w:sz w:val="28"/>
        </w:rPr>
      </w:pPr>
      <w:r w:rsidRPr="00A80C43">
        <w:rPr>
          <w:rFonts w:ascii="Times New Roman" w:hAnsi="Times New Roman" w:cs="Times New Roman"/>
          <w:b/>
          <w:i/>
          <w:sz w:val="28"/>
        </w:rPr>
        <w:t>Dependent D</w:t>
      </w:r>
      <w:r w:rsidR="00A14FB1" w:rsidRPr="00A80C43">
        <w:rPr>
          <w:rFonts w:ascii="Times New Roman" w:hAnsi="Times New Roman" w:cs="Times New Roman"/>
          <w:b/>
          <w:i/>
          <w:sz w:val="28"/>
        </w:rPr>
        <w:t>istricts Inactivating (Exiting)</w:t>
      </w:r>
      <w:r w:rsidRPr="00A80C43">
        <w:rPr>
          <w:rFonts w:ascii="Times New Roman" w:hAnsi="Times New Roman" w:cs="Times New Roman"/>
          <w:b/>
          <w:i/>
          <w:sz w:val="28"/>
        </w:rPr>
        <w:t xml:space="preserve"> 8</w:t>
      </w:r>
      <w:r w:rsidRPr="00A80C43">
        <w:rPr>
          <w:rFonts w:ascii="Times New Roman" w:hAnsi="Times New Roman" w:cs="Times New Roman"/>
          <w:b/>
          <w:i/>
          <w:sz w:val="28"/>
          <w:vertAlign w:val="superscript"/>
        </w:rPr>
        <w:t>th</w:t>
      </w:r>
      <w:r w:rsidRPr="00A80C43">
        <w:rPr>
          <w:rFonts w:ascii="Times New Roman" w:hAnsi="Times New Roman" w:cs="Times New Roman"/>
          <w:b/>
          <w:i/>
          <w:sz w:val="28"/>
        </w:rPr>
        <w:t xml:space="preserve"> Grade Students</w:t>
      </w:r>
    </w:p>
    <w:p w:rsidR="00C27C7E" w:rsidRPr="00A80C43" w:rsidRDefault="00C57AE5" w:rsidP="00A80C43">
      <w:pPr>
        <w:spacing w:after="0" w:line="240" w:lineRule="auto"/>
        <w:contextualSpacing/>
        <w:rPr>
          <w:rFonts w:ascii="Times New Roman" w:hAnsi="Times New Roman" w:cs="Times New Roman"/>
          <w:sz w:val="24"/>
        </w:rPr>
      </w:pPr>
      <w:r w:rsidRPr="00A80C43">
        <w:rPr>
          <w:rFonts w:ascii="Times New Roman" w:hAnsi="Times New Roman" w:cs="Times New Roman"/>
          <w:sz w:val="24"/>
        </w:rPr>
        <w:t xml:space="preserve">Dependent districts </w:t>
      </w:r>
      <w:r w:rsidR="003E62D7">
        <w:rPr>
          <w:rFonts w:ascii="Times New Roman" w:hAnsi="Times New Roman" w:cs="Times New Roman"/>
          <w:sz w:val="24"/>
        </w:rPr>
        <w:t>must</w:t>
      </w:r>
      <w:r w:rsidR="003E62D7" w:rsidRPr="00A80C43">
        <w:rPr>
          <w:rFonts w:ascii="Times New Roman" w:hAnsi="Times New Roman" w:cs="Times New Roman"/>
          <w:sz w:val="24"/>
        </w:rPr>
        <w:t xml:space="preserve"> </w:t>
      </w:r>
      <w:r w:rsidR="006A14B0" w:rsidRPr="00A80C43">
        <w:rPr>
          <w:rFonts w:ascii="Times New Roman" w:hAnsi="Times New Roman" w:cs="Times New Roman"/>
          <w:sz w:val="24"/>
        </w:rPr>
        <w:t>not inactivate (exit) 8</w:t>
      </w:r>
      <w:r w:rsidR="006A14B0" w:rsidRPr="00A80C43">
        <w:rPr>
          <w:rFonts w:ascii="Times New Roman" w:hAnsi="Times New Roman" w:cs="Times New Roman"/>
          <w:sz w:val="24"/>
          <w:vertAlign w:val="superscript"/>
        </w:rPr>
        <w:t>th</w:t>
      </w:r>
      <w:r w:rsidR="006A14B0" w:rsidRPr="00A80C43">
        <w:rPr>
          <w:rFonts w:ascii="Times New Roman" w:hAnsi="Times New Roman" w:cs="Times New Roman"/>
          <w:sz w:val="24"/>
        </w:rPr>
        <w:t xml:space="preserve"> </w:t>
      </w:r>
      <w:r w:rsidRPr="00A80C43">
        <w:rPr>
          <w:rFonts w:ascii="Times New Roman" w:hAnsi="Times New Roman" w:cs="Times New Roman"/>
          <w:sz w:val="24"/>
        </w:rPr>
        <w:t>grade students transitioning to 9</w:t>
      </w:r>
      <w:r w:rsidRPr="00A80C43">
        <w:rPr>
          <w:rFonts w:ascii="Times New Roman" w:hAnsi="Times New Roman" w:cs="Times New Roman"/>
          <w:sz w:val="24"/>
          <w:vertAlign w:val="superscript"/>
        </w:rPr>
        <w:t>th</w:t>
      </w:r>
      <w:r w:rsidRPr="00A80C43">
        <w:rPr>
          <w:rFonts w:ascii="Times New Roman" w:hAnsi="Times New Roman" w:cs="Times New Roman"/>
          <w:sz w:val="24"/>
        </w:rPr>
        <w:t xml:space="preserve"> grade</w:t>
      </w:r>
      <w:r w:rsidR="00C27C7E" w:rsidRPr="00A80C43">
        <w:rPr>
          <w:rFonts w:ascii="Times New Roman" w:hAnsi="Times New Roman" w:cs="Times New Roman"/>
          <w:sz w:val="24"/>
        </w:rPr>
        <w:t xml:space="preserve"> in </w:t>
      </w:r>
      <w:r w:rsidR="00252CFF">
        <w:rPr>
          <w:rFonts w:ascii="Times New Roman" w:hAnsi="Times New Roman" w:cs="Times New Roman"/>
          <w:sz w:val="24"/>
        </w:rPr>
        <w:t xml:space="preserve">OK </w:t>
      </w:r>
      <w:r w:rsidR="00C27C7E" w:rsidRPr="00A80C43">
        <w:rPr>
          <w:rFonts w:ascii="Times New Roman" w:hAnsi="Times New Roman" w:cs="Times New Roman"/>
          <w:sz w:val="24"/>
        </w:rPr>
        <w:t>EdPlan</w:t>
      </w:r>
      <w:r w:rsidR="00AE670D" w:rsidRPr="00A80C43">
        <w:rPr>
          <w:rFonts w:ascii="Times New Roman" w:hAnsi="Times New Roman" w:cs="Times New Roman"/>
          <w:sz w:val="24"/>
        </w:rPr>
        <w:t xml:space="preserve">. </w:t>
      </w:r>
      <w:r w:rsidR="00252CFF">
        <w:rPr>
          <w:rFonts w:ascii="Times New Roman" w:hAnsi="Times New Roman" w:cs="Times New Roman"/>
          <w:sz w:val="24"/>
        </w:rPr>
        <w:t>However, t</w:t>
      </w:r>
      <w:r w:rsidR="00C27C7E" w:rsidRPr="00A80C43">
        <w:rPr>
          <w:rFonts w:ascii="Times New Roman" w:hAnsi="Times New Roman" w:cs="Times New Roman"/>
          <w:sz w:val="24"/>
        </w:rPr>
        <w:t xml:space="preserve">hese students should be exited from the district’s student information system (SIS). </w:t>
      </w:r>
      <w:r w:rsidR="00AE670D" w:rsidRPr="00A80C43">
        <w:rPr>
          <w:rFonts w:ascii="Times New Roman" w:hAnsi="Times New Roman" w:cs="Times New Roman"/>
          <w:sz w:val="24"/>
        </w:rPr>
        <w:t>These students will be transferred to another district</w:t>
      </w:r>
      <w:r w:rsidR="00C27C7E" w:rsidRPr="00A80C43">
        <w:rPr>
          <w:rFonts w:ascii="Times New Roman" w:hAnsi="Times New Roman" w:cs="Times New Roman"/>
          <w:sz w:val="24"/>
        </w:rPr>
        <w:t xml:space="preserve"> in </w:t>
      </w:r>
      <w:r w:rsidR="004A1A3E">
        <w:rPr>
          <w:rFonts w:ascii="Times New Roman" w:hAnsi="Times New Roman" w:cs="Times New Roman"/>
          <w:sz w:val="24"/>
        </w:rPr>
        <w:t xml:space="preserve">OK </w:t>
      </w:r>
      <w:r w:rsidR="00C27C7E" w:rsidRPr="00A80C43">
        <w:rPr>
          <w:rFonts w:ascii="Times New Roman" w:hAnsi="Times New Roman" w:cs="Times New Roman"/>
          <w:sz w:val="24"/>
        </w:rPr>
        <w:t xml:space="preserve">EdPlan </w:t>
      </w:r>
      <w:r w:rsidR="004A1A3E">
        <w:rPr>
          <w:rFonts w:ascii="Times New Roman" w:hAnsi="Times New Roman" w:cs="Times New Roman"/>
          <w:sz w:val="24"/>
        </w:rPr>
        <w:t xml:space="preserve">at the time of </w:t>
      </w:r>
      <w:r w:rsidR="00AE670D" w:rsidRPr="00A80C43">
        <w:rPr>
          <w:rFonts w:ascii="Times New Roman" w:hAnsi="Times New Roman" w:cs="Times New Roman"/>
          <w:sz w:val="24"/>
        </w:rPr>
        <w:t xml:space="preserve">enrollment in the next district in SY2017-18. Be aware that it is the responsibility of the </w:t>
      </w:r>
      <w:r w:rsidR="00C65A6B" w:rsidRPr="00A80C43">
        <w:rPr>
          <w:rFonts w:ascii="Times New Roman" w:hAnsi="Times New Roman" w:cs="Times New Roman"/>
          <w:sz w:val="24"/>
        </w:rPr>
        <w:t>dependent</w:t>
      </w:r>
      <w:r w:rsidR="00AE670D" w:rsidRPr="00A80C43">
        <w:rPr>
          <w:rFonts w:ascii="Times New Roman" w:hAnsi="Times New Roman" w:cs="Times New Roman"/>
          <w:sz w:val="24"/>
        </w:rPr>
        <w:t xml:space="preserve"> district to determine the exiting status of any student </w:t>
      </w:r>
      <w:r w:rsidR="0067531F">
        <w:rPr>
          <w:rFonts w:ascii="Times New Roman" w:hAnsi="Times New Roman" w:cs="Times New Roman"/>
          <w:sz w:val="24"/>
        </w:rPr>
        <w:t>whose record</w:t>
      </w:r>
      <w:r w:rsidR="0067531F" w:rsidRPr="00A80C43">
        <w:rPr>
          <w:rFonts w:ascii="Times New Roman" w:hAnsi="Times New Roman" w:cs="Times New Roman"/>
          <w:sz w:val="24"/>
        </w:rPr>
        <w:t xml:space="preserve"> </w:t>
      </w:r>
      <w:r w:rsidR="00AE670D" w:rsidRPr="00A80C43">
        <w:rPr>
          <w:rFonts w:ascii="Times New Roman" w:hAnsi="Times New Roman" w:cs="Times New Roman"/>
          <w:sz w:val="24"/>
        </w:rPr>
        <w:t>is not transferred t</w:t>
      </w:r>
      <w:r w:rsidR="00C27C7E" w:rsidRPr="00A80C43">
        <w:rPr>
          <w:rFonts w:ascii="Times New Roman" w:hAnsi="Times New Roman" w:cs="Times New Roman"/>
          <w:sz w:val="24"/>
        </w:rPr>
        <w:t>o another district</w:t>
      </w:r>
      <w:r w:rsidR="004A1A3E">
        <w:rPr>
          <w:rFonts w:ascii="Times New Roman" w:hAnsi="Times New Roman" w:cs="Times New Roman"/>
          <w:sz w:val="24"/>
        </w:rPr>
        <w:t>;</w:t>
      </w:r>
      <w:r w:rsidR="00C27C7E" w:rsidRPr="00A80C43">
        <w:rPr>
          <w:rFonts w:ascii="Times New Roman" w:hAnsi="Times New Roman" w:cs="Times New Roman"/>
          <w:sz w:val="24"/>
        </w:rPr>
        <w:t xml:space="preserve"> </w:t>
      </w:r>
      <w:r w:rsidR="004A1A3E">
        <w:rPr>
          <w:rFonts w:ascii="Times New Roman" w:hAnsi="Times New Roman" w:cs="Times New Roman"/>
          <w:sz w:val="24"/>
        </w:rPr>
        <w:t xml:space="preserve">districts should </w:t>
      </w:r>
      <w:r w:rsidR="00C27C7E" w:rsidRPr="00A80C43">
        <w:rPr>
          <w:rFonts w:ascii="Times New Roman" w:hAnsi="Times New Roman" w:cs="Times New Roman"/>
          <w:sz w:val="24"/>
        </w:rPr>
        <w:t xml:space="preserve">determine where </w:t>
      </w:r>
      <w:r w:rsidR="004A1A3E">
        <w:rPr>
          <w:rFonts w:ascii="Times New Roman" w:hAnsi="Times New Roman" w:cs="Times New Roman"/>
          <w:sz w:val="24"/>
        </w:rPr>
        <w:t>each</w:t>
      </w:r>
      <w:r w:rsidR="004A1A3E" w:rsidRPr="00A80C43">
        <w:rPr>
          <w:rFonts w:ascii="Times New Roman" w:hAnsi="Times New Roman" w:cs="Times New Roman"/>
          <w:sz w:val="24"/>
        </w:rPr>
        <w:t xml:space="preserve"> </w:t>
      </w:r>
      <w:r w:rsidR="00C27C7E" w:rsidRPr="00A80C43">
        <w:rPr>
          <w:rFonts w:ascii="Times New Roman" w:hAnsi="Times New Roman" w:cs="Times New Roman"/>
          <w:sz w:val="24"/>
        </w:rPr>
        <w:t xml:space="preserve">student </w:t>
      </w:r>
      <w:r w:rsidR="009B751E" w:rsidRPr="00A80C43">
        <w:rPr>
          <w:rFonts w:ascii="Times New Roman" w:hAnsi="Times New Roman" w:cs="Times New Roman"/>
          <w:sz w:val="24"/>
        </w:rPr>
        <w:t xml:space="preserve">went and </w:t>
      </w:r>
      <w:r w:rsidR="00C27C7E" w:rsidRPr="00A80C43">
        <w:rPr>
          <w:rFonts w:ascii="Times New Roman" w:hAnsi="Times New Roman" w:cs="Times New Roman"/>
          <w:sz w:val="24"/>
        </w:rPr>
        <w:t xml:space="preserve">if that student is continuing in an educational program. Dependent districts should never use the exit reason of “Graduated with Diploma” unless the student has met all </w:t>
      </w:r>
      <w:hyperlink r:id="rId12" w:history="1">
        <w:r w:rsidR="00C27C7E" w:rsidRPr="00A80C43">
          <w:rPr>
            <w:rStyle w:val="Hyperlink"/>
            <w:rFonts w:ascii="Times New Roman" w:hAnsi="Times New Roman" w:cs="Times New Roman"/>
            <w:sz w:val="24"/>
          </w:rPr>
          <w:t>state requirements for high school graduation</w:t>
        </w:r>
      </w:hyperlink>
      <w:r w:rsidR="008C7653" w:rsidRPr="00A80C43">
        <w:rPr>
          <w:rFonts w:ascii="Times New Roman" w:hAnsi="Times New Roman" w:cs="Times New Roman"/>
          <w:sz w:val="24"/>
        </w:rPr>
        <w:t>.</w:t>
      </w:r>
    </w:p>
    <w:p w:rsidR="008C7653" w:rsidRPr="00A80C43" w:rsidRDefault="008C7653">
      <w:pPr>
        <w:rPr>
          <w:rFonts w:ascii="Times New Roman" w:hAnsi="Times New Roman" w:cs="Times New Roman"/>
        </w:rPr>
      </w:pPr>
    </w:p>
    <w:p w:rsidR="00ED3F90" w:rsidRPr="00A80C43" w:rsidRDefault="00ED3F90">
      <w:pPr>
        <w:rPr>
          <w:rFonts w:ascii="Times New Roman" w:hAnsi="Times New Roman" w:cs="Times New Roman"/>
          <w:b/>
          <w:i/>
          <w:sz w:val="28"/>
        </w:rPr>
      </w:pPr>
      <w:r w:rsidRPr="00A80C43">
        <w:rPr>
          <w:rFonts w:ascii="Times New Roman" w:hAnsi="Times New Roman" w:cs="Times New Roman"/>
          <w:b/>
          <w:i/>
          <w:sz w:val="28"/>
        </w:rPr>
        <w:t>Secondary Transition for Graduates</w:t>
      </w:r>
    </w:p>
    <w:p w:rsidR="009B751E" w:rsidRDefault="00F35180" w:rsidP="00A80C43">
      <w:pPr>
        <w:spacing w:after="0" w:line="240" w:lineRule="auto"/>
        <w:contextualSpacing/>
        <w:rPr>
          <w:rFonts w:ascii="Times New Roman" w:hAnsi="Times New Roman" w:cs="Times New Roman"/>
          <w:sz w:val="24"/>
        </w:rPr>
      </w:pPr>
      <w:r w:rsidRPr="00A80C43">
        <w:rPr>
          <w:rFonts w:ascii="Times New Roman" w:hAnsi="Times New Roman" w:cs="Times New Roman"/>
          <w:sz w:val="24"/>
        </w:rPr>
        <w:t xml:space="preserve">The reporting requirements </w:t>
      </w:r>
      <w:r w:rsidR="004964DB" w:rsidRPr="00A80C43">
        <w:rPr>
          <w:rFonts w:ascii="Times New Roman" w:hAnsi="Times New Roman" w:cs="Times New Roman"/>
          <w:sz w:val="24"/>
        </w:rPr>
        <w:t xml:space="preserve">for secondary transition, as put forth by the Office of Special Education Programs (OSEP), are the number of youth that meet the criteria outlined in </w:t>
      </w:r>
      <w:hyperlink r:id="rId13" w:history="1">
        <w:r w:rsidR="004964DB" w:rsidRPr="00A80C43">
          <w:rPr>
            <w:rStyle w:val="Hyperlink"/>
            <w:rFonts w:ascii="Times New Roman" w:hAnsi="Times New Roman" w:cs="Times New Roman"/>
            <w:sz w:val="24"/>
          </w:rPr>
          <w:t xml:space="preserve">34 CFR </w:t>
        </w:r>
        <w:r w:rsidR="00EE1F91" w:rsidRPr="00A80C43">
          <w:rPr>
            <w:rStyle w:val="Hyperlink"/>
            <w:rFonts w:ascii="Times New Roman" w:hAnsi="Times New Roman" w:cs="Times New Roman"/>
            <w:sz w:val="24"/>
          </w:rPr>
          <w:t>§</w:t>
        </w:r>
        <w:r w:rsidR="004964DB" w:rsidRPr="00A80C43">
          <w:rPr>
            <w:rStyle w:val="Hyperlink"/>
            <w:rFonts w:ascii="Times New Roman" w:hAnsi="Times New Roman" w:cs="Times New Roman"/>
            <w:sz w:val="24"/>
          </w:rPr>
          <w:t>300.320 (b) and (c)</w:t>
        </w:r>
      </w:hyperlink>
      <w:r w:rsidR="004964DB" w:rsidRPr="00A80C43">
        <w:rPr>
          <w:rFonts w:ascii="Times New Roman" w:hAnsi="Times New Roman" w:cs="Times New Roman"/>
          <w:sz w:val="24"/>
        </w:rPr>
        <w:t xml:space="preserve"> divided by the number of youth age 16 and above with an IEP</w:t>
      </w:r>
      <w:r w:rsidR="0029693B">
        <w:rPr>
          <w:rFonts w:ascii="Times New Roman" w:hAnsi="Times New Roman" w:cs="Times New Roman"/>
          <w:sz w:val="24"/>
        </w:rPr>
        <w:t xml:space="preserve">. </w:t>
      </w:r>
      <w:r w:rsidR="0029693B" w:rsidRPr="0029693B">
        <w:rPr>
          <w:rFonts w:ascii="Times New Roman" w:hAnsi="Times New Roman" w:cs="Times New Roman"/>
          <w:sz w:val="24"/>
        </w:rPr>
        <w:t>Oklahoma Special Education Policies also require districts to include students in 9th grade or above</w:t>
      </w:r>
      <w:r w:rsidR="004964DB" w:rsidRPr="00A80C43">
        <w:rPr>
          <w:rFonts w:ascii="Times New Roman" w:hAnsi="Times New Roman" w:cs="Times New Roman"/>
          <w:sz w:val="24"/>
        </w:rPr>
        <w:t xml:space="preserve">. </w:t>
      </w:r>
      <w:r w:rsidR="009B751E" w:rsidRPr="00A80C43">
        <w:rPr>
          <w:rFonts w:ascii="Times New Roman" w:hAnsi="Times New Roman" w:cs="Times New Roman"/>
          <w:sz w:val="24"/>
        </w:rPr>
        <w:t>Since this data collection is captured on the last day of the fiscal year, only active students</w:t>
      </w:r>
      <w:r w:rsidR="0067531F" w:rsidRPr="00A80C43">
        <w:rPr>
          <w:rFonts w:ascii="Times New Roman" w:hAnsi="Times New Roman" w:cs="Times New Roman"/>
          <w:sz w:val="24"/>
        </w:rPr>
        <w:t xml:space="preserve"> with IEPs</w:t>
      </w:r>
      <w:r w:rsidR="009B751E" w:rsidRPr="00A80C43">
        <w:rPr>
          <w:rFonts w:ascii="Times New Roman" w:hAnsi="Times New Roman" w:cs="Times New Roman"/>
          <w:sz w:val="24"/>
        </w:rPr>
        <w:t xml:space="preserve"> </w:t>
      </w:r>
      <w:r w:rsidR="001E07DB">
        <w:rPr>
          <w:rFonts w:ascii="Times New Roman" w:hAnsi="Times New Roman" w:cs="Times New Roman"/>
          <w:sz w:val="24"/>
        </w:rPr>
        <w:t>who are 16 years or older—or in the 9</w:t>
      </w:r>
      <w:r w:rsidR="001E07DB" w:rsidRPr="001E07DB">
        <w:rPr>
          <w:rFonts w:ascii="Times New Roman" w:hAnsi="Times New Roman" w:cs="Times New Roman"/>
          <w:sz w:val="24"/>
          <w:vertAlign w:val="superscript"/>
        </w:rPr>
        <w:t>th</w:t>
      </w:r>
      <w:r w:rsidR="001E07DB">
        <w:rPr>
          <w:rFonts w:ascii="Times New Roman" w:hAnsi="Times New Roman" w:cs="Times New Roman"/>
          <w:sz w:val="24"/>
        </w:rPr>
        <w:t xml:space="preserve"> grade—o</w:t>
      </w:r>
      <w:r w:rsidR="009B751E" w:rsidRPr="00A80C43">
        <w:rPr>
          <w:rFonts w:ascii="Times New Roman" w:hAnsi="Times New Roman" w:cs="Times New Roman"/>
          <w:sz w:val="24"/>
        </w:rPr>
        <w:t xml:space="preserve">n that day will be counted. </w:t>
      </w:r>
    </w:p>
    <w:p w:rsidR="00A80C43" w:rsidRDefault="00A80C43" w:rsidP="00A80C43">
      <w:pPr>
        <w:spacing w:after="0" w:line="240" w:lineRule="auto"/>
        <w:contextualSpacing/>
        <w:rPr>
          <w:rFonts w:ascii="Times New Roman" w:hAnsi="Times New Roman" w:cs="Times New Roman"/>
          <w:sz w:val="24"/>
        </w:rPr>
      </w:pPr>
    </w:p>
    <w:p w:rsidR="00A80C43" w:rsidRDefault="00A80C43" w:rsidP="00A80C43">
      <w:pPr>
        <w:spacing w:after="0" w:line="240" w:lineRule="auto"/>
        <w:contextualSpacing/>
        <w:rPr>
          <w:rFonts w:ascii="Times New Roman" w:hAnsi="Times New Roman" w:cs="Times New Roman"/>
          <w:sz w:val="24"/>
        </w:rPr>
      </w:pPr>
    </w:p>
    <w:p w:rsidR="00A80C43" w:rsidRDefault="00A80C43" w:rsidP="00A80C43">
      <w:pPr>
        <w:spacing w:after="0" w:line="240" w:lineRule="auto"/>
        <w:contextualSpacing/>
        <w:rPr>
          <w:rFonts w:ascii="Times New Roman" w:hAnsi="Times New Roman" w:cs="Times New Roman"/>
          <w:sz w:val="24"/>
        </w:rPr>
      </w:pPr>
    </w:p>
    <w:p w:rsidR="00A80C43" w:rsidRPr="00A80C43" w:rsidRDefault="00A80C43" w:rsidP="00A80C43">
      <w:pPr>
        <w:spacing w:after="0" w:line="240" w:lineRule="auto"/>
        <w:contextualSpacing/>
        <w:rPr>
          <w:rFonts w:ascii="Times New Roman" w:hAnsi="Times New Roman" w:cs="Times New Roman"/>
          <w:sz w:val="24"/>
        </w:rPr>
      </w:pPr>
    </w:p>
    <w:p w:rsidR="003D55FB" w:rsidRPr="00A80C43" w:rsidRDefault="003D55FB">
      <w:pPr>
        <w:rPr>
          <w:rFonts w:ascii="Times New Roman" w:hAnsi="Times New Roman" w:cs="Times New Roman"/>
          <w:b/>
          <w:i/>
          <w:sz w:val="28"/>
        </w:rPr>
      </w:pPr>
      <w:r w:rsidRPr="00A80C43">
        <w:rPr>
          <w:rFonts w:ascii="Times New Roman" w:hAnsi="Times New Roman" w:cs="Times New Roman"/>
          <w:b/>
          <w:i/>
          <w:sz w:val="28"/>
        </w:rPr>
        <w:t>Students Withdrawn to Homeschool</w:t>
      </w:r>
    </w:p>
    <w:p w:rsidR="003D55FB" w:rsidRPr="00A80C43" w:rsidRDefault="003D55FB" w:rsidP="00A80C43">
      <w:pPr>
        <w:spacing w:after="0" w:line="240" w:lineRule="auto"/>
        <w:contextualSpacing/>
        <w:rPr>
          <w:rFonts w:ascii="Times New Roman" w:hAnsi="Times New Roman" w:cs="Times New Roman"/>
          <w:sz w:val="24"/>
        </w:rPr>
      </w:pPr>
      <w:r w:rsidRPr="00A80C43">
        <w:rPr>
          <w:rFonts w:ascii="Times New Roman" w:hAnsi="Times New Roman" w:cs="Times New Roman"/>
          <w:sz w:val="24"/>
        </w:rPr>
        <w:t xml:space="preserve">The method for exiting/inactivating a student in </w:t>
      </w:r>
      <w:r w:rsidR="002B61D9">
        <w:rPr>
          <w:rFonts w:ascii="Times New Roman" w:hAnsi="Times New Roman" w:cs="Times New Roman"/>
          <w:sz w:val="24"/>
        </w:rPr>
        <w:t xml:space="preserve">OK </w:t>
      </w:r>
      <w:r w:rsidRPr="00A80C43">
        <w:rPr>
          <w:rFonts w:ascii="Times New Roman" w:hAnsi="Times New Roman" w:cs="Times New Roman"/>
          <w:sz w:val="24"/>
        </w:rPr>
        <w:t>EdPlan should be chosen based on the student</w:t>
      </w:r>
      <w:r w:rsidR="001E07DB">
        <w:rPr>
          <w:rFonts w:ascii="Times New Roman" w:hAnsi="Times New Roman" w:cs="Times New Roman"/>
          <w:sz w:val="24"/>
        </w:rPr>
        <w:t>’s circumstances:</w:t>
      </w:r>
      <w:r w:rsidR="001E07DB" w:rsidRPr="00A80C43">
        <w:rPr>
          <w:rFonts w:ascii="Times New Roman" w:hAnsi="Times New Roman" w:cs="Times New Roman"/>
          <w:sz w:val="24"/>
        </w:rPr>
        <w:t xml:space="preserve"> </w:t>
      </w:r>
    </w:p>
    <w:p w:rsidR="006C3D9A" w:rsidRDefault="00024012" w:rsidP="00A80C43">
      <w:pPr>
        <w:spacing w:after="0" w:line="240" w:lineRule="auto"/>
        <w:contextualSpacing/>
        <w:rPr>
          <w:rFonts w:ascii="Times New Roman" w:hAnsi="Times New Roman" w:cs="Times New Roman"/>
          <w:sz w:val="24"/>
        </w:rPr>
      </w:pPr>
      <w:r w:rsidRPr="00A80C43">
        <w:rPr>
          <w:rFonts w:ascii="Times New Roman" w:hAnsi="Times New Roman" w:cs="Times New Roman"/>
          <w:sz w:val="24"/>
        </w:rPr>
        <w:tab/>
      </w:r>
    </w:p>
    <w:p w:rsidR="00024012" w:rsidRPr="00A80C43" w:rsidRDefault="00024012" w:rsidP="00A80C43">
      <w:pPr>
        <w:pStyle w:val="ListParagraph"/>
        <w:numPr>
          <w:ilvl w:val="0"/>
          <w:numId w:val="6"/>
        </w:numPr>
        <w:spacing w:after="0" w:line="240" w:lineRule="auto"/>
        <w:rPr>
          <w:rFonts w:ascii="Times New Roman" w:hAnsi="Times New Roman" w:cs="Times New Roman"/>
          <w:sz w:val="24"/>
        </w:rPr>
      </w:pPr>
      <w:r w:rsidRPr="00A80C43">
        <w:rPr>
          <w:rFonts w:ascii="Times New Roman" w:hAnsi="Times New Roman" w:cs="Times New Roman"/>
          <w:sz w:val="24"/>
        </w:rPr>
        <w:t xml:space="preserve">Was the student determined, through </w:t>
      </w:r>
      <w:r w:rsidR="003E62D7">
        <w:rPr>
          <w:rFonts w:ascii="Times New Roman" w:hAnsi="Times New Roman" w:cs="Times New Roman"/>
          <w:sz w:val="24"/>
        </w:rPr>
        <w:t xml:space="preserve">an </w:t>
      </w:r>
      <w:r w:rsidRPr="00A80C43">
        <w:rPr>
          <w:rFonts w:ascii="Times New Roman" w:hAnsi="Times New Roman" w:cs="Times New Roman"/>
          <w:sz w:val="24"/>
        </w:rPr>
        <w:t xml:space="preserve">evaluation, to be </w:t>
      </w:r>
      <w:r w:rsidR="0029693B">
        <w:rPr>
          <w:rFonts w:ascii="Times New Roman" w:hAnsi="Times New Roman" w:cs="Times New Roman"/>
          <w:sz w:val="24"/>
        </w:rPr>
        <w:t>ineligible for special education and related services?</w:t>
      </w:r>
    </w:p>
    <w:p w:rsidR="00024012" w:rsidRPr="00A80C43" w:rsidRDefault="00024012" w:rsidP="006F5BC0">
      <w:pPr>
        <w:pStyle w:val="ListParagraph"/>
        <w:numPr>
          <w:ilvl w:val="1"/>
          <w:numId w:val="6"/>
        </w:numPr>
        <w:spacing w:before="60" w:after="0" w:line="240" w:lineRule="auto"/>
        <w:contextualSpacing w:val="0"/>
        <w:rPr>
          <w:rFonts w:ascii="Times New Roman" w:hAnsi="Times New Roman" w:cs="Times New Roman"/>
          <w:sz w:val="24"/>
        </w:rPr>
      </w:pPr>
      <w:r w:rsidRPr="00A80C43">
        <w:rPr>
          <w:rFonts w:ascii="Times New Roman" w:hAnsi="Times New Roman" w:cs="Times New Roman"/>
          <w:sz w:val="24"/>
        </w:rPr>
        <w:t xml:space="preserve">If yes, then a </w:t>
      </w:r>
      <w:r w:rsidR="00596B6B">
        <w:rPr>
          <w:rFonts w:ascii="Times New Roman" w:hAnsi="Times New Roman" w:cs="Times New Roman"/>
          <w:sz w:val="24"/>
        </w:rPr>
        <w:t xml:space="preserve">Multi-Disciplinary Evaluation and Group Summary (MEEGS) </w:t>
      </w:r>
      <w:r w:rsidRPr="00A80C43">
        <w:rPr>
          <w:rFonts w:ascii="Times New Roman" w:hAnsi="Times New Roman" w:cs="Times New Roman"/>
          <w:sz w:val="24"/>
        </w:rPr>
        <w:t>should be completed and finalized with “This student is Not Eligible for Special Education services” selected.</w:t>
      </w:r>
    </w:p>
    <w:p w:rsidR="00024012" w:rsidRPr="00A80C43" w:rsidRDefault="00024012" w:rsidP="006F5BC0">
      <w:pPr>
        <w:pStyle w:val="ListParagraph"/>
        <w:numPr>
          <w:ilvl w:val="1"/>
          <w:numId w:val="6"/>
        </w:numPr>
        <w:spacing w:before="60" w:after="0" w:line="240" w:lineRule="auto"/>
        <w:contextualSpacing w:val="0"/>
        <w:rPr>
          <w:rFonts w:ascii="Times New Roman" w:hAnsi="Times New Roman" w:cs="Times New Roman"/>
          <w:sz w:val="24"/>
        </w:rPr>
      </w:pPr>
      <w:r w:rsidRPr="00A80C43">
        <w:rPr>
          <w:rFonts w:ascii="Times New Roman" w:hAnsi="Times New Roman" w:cs="Times New Roman"/>
          <w:sz w:val="24"/>
        </w:rPr>
        <w:t>If no, Continue to 2.</w:t>
      </w:r>
    </w:p>
    <w:p w:rsidR="00024012" w:rsidRPr="00A80C43" w:rsidRDefault="00024012" w:rsidP="006F5BC0">
      <w:pPr>
        <w:pStyle w:val="ListParagraph"/>
        <w:numPr>
          <w:ilvl w:val="0"/>
          <w:numId w:val="6"/>
        </w:numPr>
        <w:spacing w:before="120" w:after="0" w:line="240" w:lineRule="auto"/>
        <w:contextualSpacing w:val="0"/>
        <w:rPr>
          <w:rFonts w:ascii="Times New Roman" w:hAnsi="Times New Roman" w:cs="Times New Roman"/>
          <w:sz w:val="24"/>
        </w:rPr>
      </w:pPr>
      <w:r w:rsidRPr="00A80C43">
        <w:rPr>
          <w:rFonts w:ascii="Times New Roman" w:hAnsi="Times New Roman" w:cs="Times New Roman"/>
          <w:sz w:val="24"/>
        </w:rPr>
        <w:t>Did the parent</w:t>
      </w:r>
      <w:r w:rsidR="00955F59" w:rsidRPr="00A80C43">
        <w:rPr>
          <w:rFonts w:ascii="Times New Roman" w:hAnsi="Times New Roman" w:cs="Times New Roman"/>
          <w:sz w:val="24"/>
        </w:rPr>
        <w:t>/guardian</w:t>
      </w:r>
      <w:r w:rsidRPr="00A80C43">
        <w:rPr>
          <w:rFonts w:ascii="Times New Roman" w:hAnsi="Times New Roman" w:cs="Times New Roman"/>
          <w:sz w:val="24"/>
        </w:rPr>
        <w:t xml:space="preserve"> voluntarily revoke consent to Special Education in writing</w:t>
      </w:r>
      <w:r w:rsidR="008139F3">
        <w:rPr>
          <w:rFonts w:ascii="Times New Roman" w:hAnsi="Times New Roman" w:cs="Times New Roman"/>
          <w:sz w:val="24"/>
        </w:rPr>
        <w:t xml:space="preserve">, </w:t>
      </w:r>
      <w:r w:rsidR="008139F3" w:rsidRPr="00A80C43">
        <w:rPr>
          <w:rFonts w:ascii="Times New Roman" w:hAnsi="Times New Roman" w:cs="Times New Roman"/>
          <w:sz w:val="24"/>
        </w:rPr>
        <w:t>prior to wi</w:t>
      </w:r>
      <w:r w:rsidR="008139F3">
        <w:rPr>
          <w:rFonts w:ascii="Times New Roman" w:hAnsi="Times New Roman" w:cs="Times New Roman"/>
          <w:sz w:val="24"/>
        </w:rPr>
        <w:t>thdrawing the student</w:t>
      </w:r>
      <w:r w:rsidR="008139F3" w:rsidRPr="00A80C43">
        <w:rPr>
          <w:rFonts w:ascii="Times New Roman" w:hAnsi="Times New Roman" w:cs="Times New Roman"/>
          <w:sz w:val="24"/>
        </w:rPr>
        <w:t xml:space="preserve"> to homeschool</w:t>
      </w:r>
      <w:r w:rsidRPr="00A80C43">
        <w:rPr>
          <w:rFonts w:ascii="Times New Roman" w:hAnsi="Times New Roman" w:cs="Times New Roman"/>
          <w:sz w:val="24"/>
        </w:rPr>
        <w:t>?</w:t>
      </w:r>
    </w:p>
    <w:p w:rsidR="00024012" w:rsidRPr="00A80C43" w:rsidRDefault="00024012" w:rsidP="006F5BC0">
      <w:pPr>
        <w:pStyle w:val="ListParagraph"/>
        <w:numPr>
          <w:ilvl w:val="1"/>
          <w:numId w:val="6"/>
        </w:numPr>
        <w:spacing w:before="60" w:after="0" w:line="240" w:lineRule="auto"/>
        <w:contextualSpacing w:val="0"/>
        <w:rPr>
          <w:rFonts w:ascii="Times New Roman" w:hAnsi="Times New Roman" w:cs="Times New Roman"/>
          <w:sz w:val="24"/>
        </w:rPr>
      </w:pPr>
      <w:r w:rsidRPr="00A80C43">
        <w:rPr>
          <w:rFonts w:ascii="Times New Roman" w:hAnsi="Times New Roman" w:cs="Times New Roman"/>
          <w:sz w:val="24"/>
        </w:rPr>
        <w:t>If yes, then a MEEGS should be completed and finalized with</w:t>
      </w:r>
      <w:r w:rsidR="002B61D9">
        <w:rPr>
          <w:rFonts w:ascii="Times New Roman" w:hAnsi="Times New Roman" w:cs="Times New Roman"/>
          <w:sz w:val="24"/>
        </w:rPr>
        <w:t xml:space="preserve"> the selection: </w:t>
      </w:r>
      <w:r w:rsidRPr="00A80C43">
        <w:rPr>
          <w:rFonts w:ascii="Times New Roman" w:hAnsi="Times New Roman" w:cs="Times New Roman"/>
          <w:sz w:val="24"/>
        </w:rPr>
        <w:t>“This student is Eligible for Special Education because s/he meets the State of Oklahoma’s eligibility standards for the following; however, the student’s parent/guardian is declining services</w:t>
      </w:r>
      <w:r w:rsidR="002B61D9">
        <w:rPr>
          <w:rFonts w:ascii="Times New Roman" w:hAnsi="Times New Roman" w:cs="Times New Roman"/>
          <w:sz w:val="24"/>
        </w:rPr>
        <w:t>.</w:t>
      </w:r>
      <w:r w:rsidRPr="00A80C43">
        <w:rPr>
          <w:rFonts w:ascii="Times New Roman" w:hAnsi="Times New Roman" w:cs="Times New Roman"/>
          <w:sz w:val="24"/>
        </w:rPr>
        <w:t>”</w:t>
      </w:r>
    </w:p>
    <w:p w:rsidR="00955F59" w:rsidRPr="00A80C43" w:rsidRDefault="008139F3" w:rsidP="006F5BC0">
      <w:pPr>
        <w:pStyle w:val="ListParagraph"/>
        <w:numPr>
          <w:ilvl w:val="1"/>
          <w:numId w:val="6"/>
        </w:numPr>
        <w:spacing w:before="60" w:after="0" w:line="240" w:lineRule="auto"/>
        <w:contextualSpacing w:val="0"/>
        <w:rPr>
          <w:rFonts w:ascii="Times New Roman" w:hAnsi="Times New Roman" w:cs="Times New Roman"/>
          <w:sz w:val="24"/>
        </w:rPr>
      </w:pPr>
      <w:r>
        <w:rPr>
          <w:rFonts w:ascii="Times New Roman" w:hAnsi="Times New Roman" w:cs="Times New Roman"/>
          <w:sz w:val="24"/>
        </w:rPr>
        <w:t>If no, t</w:t>
      </w:r>
      <w:r w:rsidR="002A4BFF" w:rsidRPr="00A80C43">
        <w:rPr>
          <w:rFonts w:ascii="Times New Roman" w:hAnsi="Times New Roman" w:cs="Times New Roman"/>
          <w:sz w:val="24"/>
        </w:rPr>
        <w:t>he student should be inactivated with the exit reason of “Homeschooled.”</w:t>
      </w:r>
    </w:p>
    <w:p w:rsidR="006C3D9A" w:rsidRDefault="006C3D9A" w:rsidP="00A80C43">
      <w:pPr>
        <w:spacing w:after="0" w:line="240" w:lineRule="auto"/>
        <w:contextualSpacing/>
        <w:rPr>
          <w:rFonts w:ascii="Times New Roman" w:hAnsi="Times New Roman" w:cs="Times New Roman"/>
          <w:sz w:val="24"/>
        </w:rPr>
      </w:pPr>
    </w:p>
    <w:p w:rsidR="00024012" w:rsidRPr="00A80C43" w:rsidRDefault="00955F59" w:rsidP="00A80C43">
      <w:pPr>
        <w:spacing w:after="0" w:line="240" w:lineRule="auto"/>
        <w:contextualSpacing/>
        <w:rPr>
          <w:rFonts w:ascii="Times New Roman" w:hAnsi="Times New Roman" w:cs="Times New Roman"/>
          <w:sz w:val="24"/>
        </w:rPr>
      </w:pPr>
      <w:r w:rsidRPr="00A80C43">
        <w:rPr>
          <w:rFonts w:ascii="Times New Roman" w:hAnsi="Times New Roman" w:cs="Times New Roman"/>
          <w:sz w:val="24"/>
        </w:rPr>
        <w:t xml:space="preserve">Inherently, if the student was determined through </w:t>
      </w:r>
      <w:r w:rsidR="006F5BC0">
        <w:rPr>
          <w:rFonts w:ascii="Times New Roman" w:hAnsi="Times New Roman" w:cs="Times New Roman"/>
          <w:sz w:val="24"/>
        </w:rPr>
        <w:t xml:space="preserve">an </w:t>
      </w:r>
      <w:r w:rsidRPr="00A80C43">
        <w:rPr>
          <w:rFonts w:ascii="Times New Roman" w:hAnsi="Times New Roman" w:cs="Times New Roman"/>
          <w:sz w:val="24"/>
        </w:rPr>
        <w:t xml:space="preserve">evaluation to be </w:t>
      </w:r>
      <w:r w:rsidR="0029693B">
        <w:rPr>
          <w:rFonts w:ascii="Times New Roman" w:hAnsi="Times New Roman" w:cs="Times New Roman"/>
          <w:sz w:val="24"/>
        </w:rPr>
        <w:t>ineligible for special education and related services</w:t>
      </w:r>
      <w:r w:rsidRPr="00A80C43">
        <w:rPr>
          <w:rFonts w:ascii="Times New Roman" w:hAnsi="Times New Roman" w:cs="Times New Roman"/>
          <w:sz w:val="24"/>
        </w:rPr>
        <w:t xml:space="preserve"> or</w:t>
      </w:r>
      <w:r w:rsidR="00C007B4">
        <w:rPr>
          <w:rFonts w:ascii="Times New Roman" w:hAnsi="Times New Roman" w:cs="Times New Roman"/>
          <w:sz w:val="24"/>
        </w:rPr>
        <w:t>,</w:t>
      </w:r>
      <w:r w:rsidRPr="00A80C43">
        <w:rPr>
          <w:rFonts w:ascii="Times New Roman" w:hAnsi="Times New Roman" w:cs="Times New Roman"/>
          <w:sz w:val="24"/>
        </w:rPr>
        <w:t xml:space="preserve"> if the parent/guardian voluntarily revoked consent to Special Education in writing, then the local education agency no longer has a FAPE responsibility. Likewise, if the student is withdrawn to homeschool</w:t>
      </w:r>
      <w:r w:rsidR="008139F3">
        <w:rPr>
          <w:rFonts w:ascii="Times New Roman" w:hAnsi="Times New Roman" w:cs="Times New Roman"/>
          <w:sz w:val="24"/>
        </w:rPr>
        <w:t>, the</w:t>
      </w:r>
      <w:r w:rsidRPr="00A80C43">
        <w:rPr>
          <w:rFonts w:ascii="Times New Roman" w:hAnsi="Times New Roman" w:cs="Times New Roman"/>
          <w:sz w:val="24"/>
        </w:rPr>
        <w:t xml:space="preserve"> local education agency no longer has a FAPE responsibility. However, in any of the above cases, a written notice should be sent to the parent/guardian making them aware of this fact. </w:t>
      </w:r>
      <w:r w:rsidR="00024012" w:rsidRPr="00A80C43">
        <w:rPr>
          <w:rFonts w:ascii="Times New Roman" w:hAnsi="Times New Roman" w:cs="Times New Roman"/>
          <w:sz w:val="24"/>
        </w:rPr>
        <w:t xml:space="preserve"> </w:t>
      </w:r>
    </w:p>
    <w:sectPr w:rsidR="00024012" w:rsidRPr="00A80C43" w:rsidSect="00A80C43">
      <w:headerReference w:type="default" r:id="rId14"/>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671" w:rsidRDefault="00617671" w:rsidP="003D55FB">
      <w:pPr>
        <w:spacing w:after="0" w:line="240" w:lineRule="auto"/>
      </w:pPr>
      <w:r>
        <w:separator/>
      </w:r>
    </w:p>
  </w:endnote>
  <w:endnote w:type="continuationSeparator" w:id="0">
    <w:p w:rsidR="00617671" w:rsidRDefault="00617671" w:rsidP="003D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pacing w:val="20"/>
      </w:rPr>
      <w:id w:val="1005095995"/>
      <w:docPartObj>
        <w:docPartGallery w:val="Page Numbers (Bottom of Page)"/>
        <w:docPartUnique/>
      </w:docPartObj>
    </w:sdtPr>
    <w:sdtEndPr>
      <w:rPr>
        <w:noProof/>
      </w:rPr>
    </w:sdtEndPr>
    <w:sdtContent>
      <w:p w:rsidR="002675B8" w:rsidRPr="002675B8" w:rsidRDefault="002675B8">
        <w:pPr>
          <w:pStyle w:val="Footer"/>
          <w:rPr>
            <w:spacing w:val="20"/>
          </w:rPr>
        </w:pPr>
        <w:r w:rsidRPr="002675B8">
          <w:rPr>
            <w:spacing w:val="20"/>
          </w:rPr>
          <w:t xml:space="preserve">Page | </w:t>
        </w:r>
        <w:r w:rsidRPr="002675B8">
          <w:rPr>
            <w:spacing w:val="20"/>
          </w:rPr>
          <w:fldChar w:fldCharType="begin"/>
        </w:r>
        <w:r w:rsidRPr="002675B8">
          <w:rPr>
            <w:spacing w:val="20"/>
          </w:rPr>
          <w:instrText xml:space="preserve"> PAGE   \* MERGEFORMAT </w:instrText>
        </w:r>
        <w:r w:rsidRPr="002675B8">
          <w:rPr>
            <w:spacing w:val="20"/>
          </w:rPr>
          <w:fldChar w:fldCharType="separate"/>
        </w:r>
        <w:r w:rsidR="0054234A">
          <w:rPr>
            <w:noProof/>
            <w:spacing w:val="20"/>
          </w:rPr>
          <w:t>1</w:t>
        </w:r>
        <w:r w:rsidRPr="002675B8">
          <w:rPr>
            <w:noProof/>
            <w:spacing w:val="20"/>
          </w:rPr>
          <w:fldChar w:fldCharType="end"/>
        </w:r>
        <w:r>
          <w:rPr>
            <w:spacing w:val="20"/>
          </w:rPr>
          <w:tab/>
        </w:r>
        <w:r>
          <w:rPr>
            <w:spacing w:val="20"/>
          </w:rPr>
          <w:tab/>
          <w:t>May 17, 2017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671" w:rsidRDefault="00617671" w:rsidP="003D55FB">
      <w:pPr>
        <w:spacing w:after="0" w:line="240" w:lineRule="auto"/>
      </w:pPr>
      <w:r>
        <w:separator/>
      </w:r>
    </w:p>
  </w:footnote>
  <w:footnote w:type="continuationSeparator" w:id="0">
    <w:p w:rsidR="00617671" w:rsidRDefault="00617671" w:rsidP="003D5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single" w:sz="18" w:space="0" w:color="808080"/>
        <w:insideV w:val="single" w:sz="18" w:space="0" w:color="808080"/>
      </w:tblBorders>
      <w:tblLayout w:type="fixed"/>
      <w:tblLook w:val="0400" w:firstRow="0" w:lastRow="0" w:firstColumn="0" w:lastColumn="0" w:noHBand="0" w:noVBand="1"/>
    </w:tblPr>
    <w:tblGrid>
      <w:gridCol w:w="7470"/>
      <w:gridCol w:w="1890"/>
    </w:tblGrid>
    <w:tr w:rsidR="003D55FB" w:rsidRPr="00D53E1B" w:rsidTr="00585F15">
      <w:trPr>
        <w:trHeight w:val="280"/>
      </w:trPr>
      <w:tc>
        <w:tcPr>
          <w:tcW w:w="7470" w:type="dxa"/>
        </w:tcPr>
        <w:p w:rsidR="003D55FB" w:rsidRPr="00D53E1B" w:rsidRDefault="003D55FB" w:rsidP="003D55FB">
          <w:pPr>
            <w:tabs>
              <w:tab w:val="center" w:pos="4680"/>
              <w:tab w:val="right" w:pos="9360"/>
            </w:tabs>
            <w:spacing w:after="0" w:line="240" w:lineRule="auto"/>
            <w:jc w:val="right"/>
            <w:rPr>
              <w:rFonts w:eastAsia="Cambria" w:cs="Cambria"/>
              <w:sz w:val="36"/>
              <w:szCs w:val="36"/>
            </w:rPr>
          </w:pPr>
          <w:r w:rsidRPr="00D53E1B">
            <w:rPr>
              <w:rFonts w:eastAsia="Cambria" w:cs="Cambria"/>
              <w:sz w:val="36"/>
              <w:szCs w:val="36"/>
            </w:rPr>
            <w:t xml:space="preserve">End of Year </w:t>
          </w:r>
          <w:r>
            <w:rPr>
              <w:rFonts w:eastAsia="Cambria" w:cs="Cambria"/>
              <w:sz w:val="36"/>
              <w:szCs w:val="36"/>
            </w:rPr>
            <w:t>Reporting Clarification</w:t>
          </w:r>
        </w:p>
      </w:tc>
      <w:tc>
        <w:tcPr>
          <w:tcW w:w="1890" w:type="dxa"/>
        </w:tcPr>
        <w:p w:rsidR="003D55FB" w:rsidRPr="00D53E1B" w:rsidRDefault="003D55FB" w:rsidP="003D55FB">
          <w:pPr>
            <w:tabs>
              <w:tab w:val="center" w:pos="4680"/>
              <w:tab w:val="right" w:pos="9360"/>
            </w:tabs>
            <w:spacing w:after="0" w:line="240" w:lineRule="auto"/>
            <w:rPr>
              <w:rFonts w:eastAsia="Cambria" w:cs="Cambria"/>
              <w:b/>
              <w:color w:val="4F81BD"/>
              <w:sz w:val="36"/>
              <w:szCs w:val="36"/>
            </w:rPr>
          </w:pPr>
          <w:r w:rsidRPr="00D53E1B">
            <w:rPr>
              <w:rFonts w:eastAsia="Cambria" w:cs="Cambria"/>
              <w:b/>
              <w:color w:val="4F81BD"/>
              <w:sz w:val="36"/>
              <w:szCs w:val="36"/>
            </w:rPr>
            <w:t>OSDE-SES</w:t>
          </w:r>
        </w:p>
      </w:tc>
    </w:tr>
  </w:tbl>
  <w:p w:rsidR="003D55FB" w:rsidRDefault="003D5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371"/>
    <w:multiLevelType w:val="hybridMultilevel"/>
    <w:tmpl w:val="58067180"/>
    <w:lvl w:ilvl="0" w:tplc="F64413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F3057C"/>
    <w:multiLevelType w:val="multilevel"/>
    <w:tmpl w:val="0F9EA4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9143EEC"/>
    <w:multiLevelType w:val="multilevel"/>
    <w:tmpl w:val="473C37F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2"/>
  </w:num>
  <w:num w:numId="3">
    <w:abstractNumId w:val="2"/>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C0"/>
    <w:rsid w:val="00024012"/>
    <w:rsid w:val="00173E6B"/>
    <w:rsid w:val="001E07DB"/>
    <w:rsid w:val="00252CFF"/>
    <w:rsid w:val="002675B8"/>
    <w:rsid w:val="0029693B"/>
    <w:rsid w:val="002A4BFF"/>
    <w:rsid w:val="002B61D9"/>
    <w:rsid w:val="00321F58"/>
    <w:rsid w:val="00327D4C"/>
    <w:rsid w:val="003B32CA"/>
    <w:rsid w:val="003D55FB"/>
    <w:rsid w:val="003E62D7"/>
    <w:rsid w:val="004964DB"/>
    <w:rsid w:val="004A1A3E"/>
    <w:rsid w:val="004D5987"/>
    <w:rsid w:val="0054234A"/>
    <w:rsid w:val="00585F15"/>
    <w:rsid w:val="00596B6B"/>
    <w:rsid w:val="00617671"/>
    <w:rsid w:val="0067531F"/>
    <w:rsid w:val="006A14B0"/>
    <w:rsid w:val="006C3D9A"/>
    <w:rsid w:val="006C74E1"/>
    <w:rsid w:val="006F5BC0"/>
    <w:rsid w:val="007A2185"/>
    <w:rsid w:val="007E4D00"/>
    <w:rsid w:val="008139F3"/>
    <w:rsid w:val="008C7653"/>
    <w:rsid w:val="00955F59"/>
    <w:rsid w:val="009B751E"/>
    <w:rsid w:val="009F6293"/>
    <w:rsid w:val="00A14FB1"/>
    <w:rsid w:val="00A80C43"/>
    <w:rsid w:val="00A975AD"/>
    <w:rsid w:val="00AE670D"/>
    <w:rsid w:val="00C007B4"/>
    <w:rsid w:val="00C27C7E"/>
    <w:rsid w:val="00C57AE5"/>
    <w:rsid w:val="00C65A6B"/>
    <w:rsid w:val="00D06F6F"/>
    <w:rsid w:val="00D22BBA"/>
    <w:rsid w:val="00D957C0"/>
    <w:rsid w:val="00DF4140"/>
    <w:rsid w:val="00E60BE8"/>
    <w:rsid w:val="00EC0428"/>
    <w:rsid w:val="00ED3F90"/>
    <w:rsid w:val="00EE1F91"/>
    <w:rsid w:val="00EF6BEF"/>
    <w:rsid w:val="00F338BF"/>
    <w:rsid w:val="00F3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447A76-447B-41D4-91C6-C080A248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21F58"/>
    <w:pPr>
      <w:keepNext/>
      <w:keepLines/>
      <w:spacing w:before="40" w:after="0"/>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autoRedefine/>
    <w:uiPriority w:val="9"/>
    <w:unhideWhenUsed/>
    <w:qFormat/>
    <w:rsid w:val="00321F58"/>
    <w:pPr>
      <w:keepNext/>
      <w:keepLines/>
      <w:numPr>
        <w:ilvl w:val="2"/>
        <w:numId w:val="4"/>
      </w:numPr>
      <w:spacing w:after="0" w:line="240" w:lineRule="auto"/>
      <w:outlineLvl w:val="2"/>
    </w:pPr>
    <w:rPr>
      <w:rFonts w:ascii="Times New Roman" w:eastAsiaTheme="majorEastAsia" w:hAnsi="Times New Roman" w:cstheme="majorBidi"/>
      <w:szCs w:val="24"/>
    </w:rPr>
  </w:style>
  <w:style w:type="paragraph" w:styleId="Heading4">
    <w:name w:val="heading 4"/>
    <w:basedOn w:val="Normal"/>
    <w:next w:val="Normal"/>
    <w:link w:val="Heading4Char"/>
    <w:autoRedefine/>
    <w:uiPriority w:val="9"/>
    <w:unhideWhenUsed/>
    <w:qFormat/>
    <w:rsid w:val="00321F58"/>
    <w:pPr>
      <w:keepNext/>
      <w:keepLines/>
      <w:numPr>
        <w:ilvl w:val="3"/>
        <w:numId w:val="5"/>
      </w:numPr>
      <w:spacing w:after="0" w:line="240" w:lineRule="auto"/>
      <w:outlineLvl w:val="3"/>
    </w:pPr>
    <w:rPr>
      <w:rFonts w:ascii="Times New Roman" w:eastAsiaTheme="majorEastAsia" w:hAnsi="Times New Roman"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1F5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321F58"/>
    <w:rPr>
      <w:rFonts w:ascii="Times New Roman" w:eastAsiaTheme="majorEastAsia" w:hAnsi="Times New Roman" w:cstheme="majorBidi"/>
      <w:szCs w:val="24"/>
    </w:rPr>
  </w:style>
  <w:style w:type="character" w:customStyle="1" w:styleId="Heading4Char">
    <w:name w:val="Heading 4 Char"/>
    <w:basedOn w:val="DefaultParagraphFont"/>
    <w:link w:val="Heading4"/>
    <w:uiPriority w:val="9"/>
    <w:rsid w:val="00321F58"/>
    <w:rPr>
      <w:rFonts w:ascii="Times New Roman" w:eastAsiaTheme="majorEastAsia" w:hAnsi="Times New Roman" w:cstheme="majorBidi"/>
      <w:i/>
      <w:iCs/>
    </w:rPr>
  </w:style>
  <w:style w:type="character" w:styleId="Hyperlink">
    <w:name w:val="Hyperlink"/>
    <w:basedOn w:val="DefaultParagraphFont"/>
    <w:uiPriority w:val="99"/>
    <w:unhideWhenUsed/>
    <w:rsid w:val="00D957C0"/>
    <w:rPr>
      <w:color w:val="0563C1" w:themeColor="hyperlink"/>
      <w:u w:val="single"/>
    </w:rPr>
  </w:style>
  <w:style w:type="character" w:styleId="FollowedHyperlink">
    <w:name w:val="FollowedHyperlink"/>
    <w:basedOn w:val="DefaultParagraphFont"/>
    <w:uiPriority w:val="99"/>
    <w:semiHidden/>
    <w:unhideWhenUsed/>
    <w:rsid w:val="00D957C0"/>
    <w:rPr>
      <w:color w:val="954F72" w:themeColor="followedHyperlink"/>
      <w:u w:val="single"/>
    </w:rPr>
  </w:style>
  <w:style w:type="paragraph" w:styleId="Header">
    <w:name w:val="header"/>
    <w:basedOn w:val="Normal"/>
    <w:link w:val="HeaderChar"/>
    <w:uiPriority w:val="99"/>
    <w:unhideWhenUsed/>
    <w:rsid w:val="003D5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5FB"/>
  </w:style>
  <w:style w:type="paragraph" w:styleId="Footer">
    <w:name w:val="footer"/>
    <w:basedOn w:val="Normal"/>
    <w:link w:val="FooterChar"/>
    <w:uiPriority w:val="99"/>
    <w:unhideWhenUsed/>
    <w:rsid w:val="003D5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5FB"/>
  </w:style>
  <w:style w:type="paragraph" w:styleId="ListParagraph">
    <w:name w:val="List Paragraph"/>
    <w:basedOn w:val="Normal"/>
    <w:uiPriority w:val="34"/>
    <w:qFormat/>
    <w:rsid w:val="00024012"/>
    <w:pPr>
      <w:ind w:left="720"/>
      <w:contextualSpacing/>
    </w:pPr>
  </w:style>
  <w:style w:type="character" w:styleId="CommentReference">
    <w:name w:val="annotation reference"/>
    <w:basedOn w:val="DefaultParagraphFont"/>
    <w:uiPriority w:val="99"/>
    <w:semiHidden/>
    <w:unhideWhenUsed/>
    <w:rsid w:val="00252CFF"/>
    <w:rPr>
      <w:sz w:val="16"/>
      <w:szCs w:val="16"/>
    </w:rPr>
  </w:style>
  <w:style w:type="paragraph" w:styleId="CommentText">
    <w:name w:val="annotation text"/>
    <w:basedOn w:val="Normal"/>
    <w:link w:val="CommentTextChar"/>
    <w:uiPriority w:val="99"/>
    <w:semiHidden/>
    <w:unhideWhenUsed/>
    <w:rsid w:val="00252CFF"/>
    <w:pPr>
      <w:spacing w:line="240" w:lineRule="auto"/>
    </w:pPr>
    <w:rPr>
      <w:sz w:val="20"/>
      <w:szCs w:val="20"/>
    </w:rPr>
  </w:style>
  <w:style w:type="character" w:customStyle="1" w:styleId="CommentTextChar">
    <w:name w:val="Comment Text Char"/>
    <w:basedOn w:val="DefaultParagraphFont"/>
    <w:link w:val="CommentText"/>
    <w:uiPriority w:val="99"/>
    <w:semiHidden/>
    <w:rsid w:val="00252CFF"/>
    <w:rPr>
      <w:sz w:val="20"/>
      <w:szCs w:val="20"/>
    </w:rPr>
  </w:style>
  <w:style w:type="paragraph" w:styleId="CommentSubject">
    <w:name w:val="annotation subject"/>
    <w:basedOn w:val="CommentText"/>
    <w:next w:val="CommentText"/>
    <w:link w:val="CommentSubjectChar"/>
    <w:uiPriority w:val="99"/>
    <w:semiHidden/>
    <w:unhideWhenUsed/>
    <w:rsid w:val="00252CFF"/>
    <w:rPr>
      <w:b/>
      <w:bCs/>
    </w:rPr>
  </w:style>
  <w:style w:type="character" w:customStyle="1" w:styleId="CommentSubjectChar">
    <w:name w:val="Comment Subject Char"/>
    <w:basedOn w:val="CommentTextChar"/>
    <w:link w:val="CommentSubject"/>
    <w:uiPriority w:val="99"/>
    <w:semiHidden/>
    <w:rsid w:val="00252CFF"/>
    <w:rPr>
      <w:b/>
      <w:bCs/>
      <w:sz w:val="20"/>
      <w:szCs w:val="20"/>
    </w:rPr>
  </w:style>
  <w:style w:type="paragraph" w:styleId="BalloonText">
    <w:name w:val="Balloon Text"/>
    <w:basedOn w:val="Normal"/>
    <w:link w:val="BalloonTextChar"/>
    <w:uiPriority w:val="99"/>
    <w:semiHidden/>
    <w:unhideWhenUsed/>
    <w:rsid w:val="00252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ea-b.ed.gov/explore/view/p/,root,regs,300,D,.html" TargetMode="External"/><Relationship Id="rId13" Type="http://schemas.openxmlformats.org/officeDocument/2006/relationships/hyperlink" Target="http://idea-b.ed.gov/explore/view/p/,root,regs,300,D,300.320,.html" TargetMode="External"/><Relationship Id="rId3" Type="http://schemas.openxmlformats.org/officeDocument/2006/relationships/settings" Target="settings.xml"/><Relationship Id="rId7" Type="http://schemas.openxmlformats.org/officeDocument/2006/relationships/hyperlink" Target="http://idea-b.ed.gov/explore/view/p/,root,regs,300,D,300.323,f,.html" TargetMode="External"/><Relationship Id="rId12" Type="http://schemas.openxmlformats.org/officeDocument/2006/relationships/hyperlink" Target="http://sde.ok.gov/sde/achieving-classroom-excellence-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ok.gov/sde/sites/ok.gov.sde/files/documents/files/Oklahoma%20Special%20Education%20Handbook_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dea-b.ed.gov/explore/view/p/,root,dynamic,QaCorner,3,.html" TargetMode="External"/><Relationship Id="rId4" Type="http://schemas.openxmlformats.org/officeDocument/2006/relationships/webSettings" Target="webSettings.xml"/><Relationship Id="rId9" Type="http://schemas.openxmlformats.org/officeDocument/2006/relationships/hyperlink" Target="http://idea-b.ed.gov/explore/view/p/,root,regs,300,D,.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Friend</dc:creator>
  <cp:keywords/>
  <dc:description/>
  <cp:lastModifiedBy>Erik Friend</cp:lastModifiedBy>
  <cp:revision>2</cp:revision>
  <dcterms:created xsi:type="dcterms:W3CDTF">2017-05-18T14:17:00Z</dcterms:created>
  <dcterms:modified xsi:type="dcterms:W3CDTF">2017-05-18T14:17:00Z</dcterms:modified>
</cp:coreProperties>
</file>