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10" w:rsidRDefault="00A36710" w:rsidP="00A36710">
      <w:pPr>
        <w:spacing w:after="240"/>
        <w:outlineLvl w:val="0"/>
      </w:pPr>
    </w:p>
    <w:tbl>
      <w:tblPr>
        <w:tblW w:w="10500" w:type="dxa"/>
        <w:jc w:val="center"/>
        <w:tblCellSpacing w:w="0" w:type="dxa"/>
        <w:tblCellMar>
          <w:left w:w="0" w:type="dxa"/>
          <w:right w:w="0" w:type="dxa"/>
        </w:tblCellMar>
        <w:tblLook w:val="04A0" w:firstRow="1" w:lastRow="0" w:firstColumn="1" w:lastColumn="0" w:noHBand="0" w:noVBand="1"/>
      </w:tblPr>
      <w:tblGrid>
        <w:gridCol w:w="10585"/>
      </w:tblGrid>
      <w:tr w:rsidR="00A36710" w:rsidTr="00A36710">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10585"/>
            </w:tblGrid>
            <w:tr w:rsidR="00A36710" w:rsidRPr="00A36710">
              <w:trPr>
                <w:tblCellSpacing w:w="0" w:type="dxa"/>
                <w:jc w:val="center"/>
              </w:trPr>
              <w:tc>
                <w:tcPr>
                  <w:tcW w:w="0" w:type="auto"/>
                  <w:vAlign w:val="center"/>
                  <w:hideMark/>
                </w:tcPr>
                <w:tbl>
                  <w:tblPr>
                    <w:tblW w:w="9000" w:type="dxa"/>
                    <w:jc w:val="center"/>
                    <w:tblLook w:val="04A0" w:firstRow="1" w:lastRow="0" w:firstColumn="1" w:lastColumn="0" w:noHBand="0" w:noVBand="1"/>
                  </w:tblPr>
                  <w:tblGrid>
                    <w:gridCol w:w="9000"/>
                  </w:tblGrid>
                  <w:tr w:rsidR="00A36710" w:rsidRPr="00A36710">
                    <w:trPr>
                      <w:jc w:val="center"/>
                    </w:trPr>
                    <w:tc>
                      <w:tcPr>
                        <w:tcW w:w="0" w:type="auto"/>
                        <w:tcMar>
                          <w:top w:w="15" w:type="dxa"/>
                          <w:left w:w="15" w:type="dxa"/>
                          <w:bottom w:w="15" w:type="dxa"/>
                          <w:right w:w="15" w:type="dxa"/>
                        </w:tcMar>
                        <w:hideMark/>
                      </w:tcPr>
                      <w:p w:rsidR="00A36710" w:rsidRPr="00A36710" w:rsidRDefault="00A36710">
                        <w:pPr>
                          <w:jc w:val="center"/>
                          <w:rPr>
                            <w:sz w:val="18"/>
                            <w:szCs w:val="17"/>
                          </w:rPr>
                        </w:pPr>
                        <w:bookmarkStart w:id="0" w:name="m_-2261003678408586105_gd_top"/>
                        <w:bookmarkEnd w:id="0"/>
                      </w:p>
                    </w:tc>
                  </w:tr>
                  <w:tr w:rsidR="00A36710" w:rsidRPr="00A36710">
                    <w:trPr>
                      <w:jc w:val="center"/>
                    </w:trPr>
                    <w:tc>
                      <w:tcPr>
                        <w:tcW w:w="0" w:type="auto"/>
                        <w:tcMar>
                          <w:top w:w="15" w:type="dxa"/>
                          <w:left w:w="15" w:type="dxa"/>
                          <w:bottom w:w="15" w:type="dxa"/>
                          <w:right w:w="15" w:type="dxa"/>
                        </w:tcMar>
                        <w:hideMark/>
                      </w:tcPr>
                      <w:tbl>
                        <w:tblPr>
                          <w:tblW w:w="5000" w:type="pct"/>
                          <w:tblLook w:val="04A0" w:firstRow="1" w:lastRow="0" w:firstColumn="1" w:lastColumn="0" w:noHBand="0" w:noVBand="1"/>
                        </w:tblPr>
                        <w:tblGrid>
                          <w:gridCol w:w="6041"/>
                          <w:gridCol w:w="39"/>
                          <w:gridCol w:w="2890"/>
                        </w:tblGrid>
                        <w:tr w:rsidR="00A36710" w:rsidRPr="00A36710">
                          <w:tc>
                            <w:tcPr>
                              <w:tcW w:w="0" w:type="auto"/>
                              <w:tcMar>
                                <w:top w:w="15" w:type="dxa"/>
                                <w:left w:w="15" w:type="dxa"/>
                                <w:bottom w:w="15" w:type="dxa"/>
                                <w:right w:w="15" w:type="dxa"/>
                              </w:tcMar>
                              <w:hideMark/>
                            </w:tcPr>
                            <w:p w:rsidR="00A36710" w:rsidRPr="00A36710" w:rsidRDefault="00A36710">
                              <w:pPr>
                                <w:rPr>
                                  <w:sz w:val="18"/>
                                </w:rPr>
                              </w:pPr>
                              <w:r w:rsidRPr="00A36710">
                                <w:rPr>
                                  <w:noProof/>
                                  <w:sz w:val="18"/>
                                </w:rPr>
                                <w:drawing>
                                  <wp:inline distT="0" distB="0" distL="0" distR="0" wp14:anchorId="45139E7A" wp14:editId="1CB3920D">
                                    <wp:extent cx="3531235" cy="2658745"/>
                                    <wp:effectExtent l="0" t="0" r="0" b="8255"/>
                                    <wp:docPr id="11" name="Picture 11" descr="Press Releas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Release State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1235" cy="2658745"/>
                                            </a:xfrm>
                                            <a:prstGeom prst="rect">
                                              <a:avLst/>
                                            </a:prstGeom>
                                            <a:noFill/>
                                            <a:ln>
                                              <a:noFill/>
                                            </a:ln>
                                          </pic:spPr>
                                        </pic:pic>
                                      </a:graphicData>
                                    </a:graphic>
                                  </wp:inline>
                                </w:drawing>
                              </w:r>
                            </w:p>
                          </w:tc>
                          <w:tc>
                            <w:tcPr>
                              <w:tcW w:w="0" w:type="auto"/>
                              <w:tcMar>
                                <w:top w:w="15" w:type="dxa"/>
                                <w:left w:w="15" w:type="dxa"/>
                                <w:bottom w:w="15" w:type="dxa"/>
                                <w:right w:w="15" w:type="dxa"/>
                              </w:tcMar>
                              <w:hideMark/>
                            </w:tcPr>
                            <w:p w:rsidR="00A36710" w:rsidRPr="00A36710" w:rsidRDefault="00A36710">
                              <w:pPr>
                                <w:rPr>
                                  <w:rFonts w:asciiTheme="minorHAnsi" w:hAnsiTheme="minorHAnsi"/>
                                  <w:sz w:val="18"/>
                                  <w:szCs w:val="22"/>
                                </w:rPr>
                              </w:pPr>
                            </w:p>
                          </w:tc>
                          <w:tc>
                            <w:tcPr>
                              <w:tcW w:w="0" w:type="auto"/>
                              <w:tcMar>
                                <w:top w:w="15" w:type="dxa"/>
                                <w:left w:w="15" w:type="dxa"/>
                                <w:bottom w:w="15" w:type="dxa"/>
                                <w:right w:w="15" w:type="dxa"/>
                              </w:tcMar>
                              <w:hideMark/>
                            </w:tcPr>
                            <w:p w:rsidR="00A36710" w:rsidRPr="00A36710" w:rsidRDefault="00A36710">
                              <w:pPr>
                                <w:pStyle w:val="m-2261003678408586105gdp"/>
                                <w:spacing w:before="0" w:beforeAutospacing="0" w:after="195" w:afterAutospacing="0"/>
                                <w:rPr>
                                  <w:rFonts w:ascii="Helvetica Neue" w:hAnsi="Helvetica Neue"/>
                                  <w:sz w:val="18"/>
                                  <w:szCs w:val="20"/>
                                </w:rPr>
                              </w:pPr>
                              <w:r w:rsidRPr="00A36710">
                                <w:rPr>
                                  <w:rFonts w:ascii="Helvetica Neue" w:hAnsi="Helvetica Neue"/>
                                  <w:sz w:val="18"/>
                                  <w:szCs w:val="20"/>
                                </w:rPr>
                                <w:t>Steffie Corcoran</w:t>
                              </w:r>
                              <w:r w:rsidRPr="00A36710">
                                <w:rPr>
                                  <w:rFonts w:ascii="Helvetica Neue" w:hAnsi="Helvetica Neue"/>
                                  <w:sz w:val="18"/>
                                  <w:szCs w:val="20"/>
                                </w:rPr>
                                <w:br/>
                                <w:t>Director of Communications</w:t>
                              </w:r>
                              <w:r w:rsidRPr="00A36710">
                                <w:rPr>
                                  <w:rFonts w:ascii="Helvetica Neue" w:hAnsi="Helvetica Neue"/>
                                  <w:sz w:val="18"/>
                                  <w:szCs w:val="20"/>
                                </w:rPr>
                                <w:br/>
                                <w:t>(405) 522-5324, c: (405) 312-9558</w:t>
                              </w:r>
                              <w:r w:rsidRPr="00A36710">
                                <w:rPr>
                                  <w:rFonts w:ascii="Helvetica Neue" w:hAnsi="Helvetica Neue"/>
                                  <w:sz w:val="18"/>
                                  <w:szCs w:val="20"/>
                                </w:rPr>
                                <w:br/>
                              </w:r>
                              <w:hyperlink r:id="rId6" w:tgtFrame="_blank" w:history="1">
                                <w:r w:rsidRPr="00A36710">
                                  <w:rPr>
                                    <w:rStyle w:val="Hyperlink"/>
                                    <w:rFonts w:ascii="Helvetica Neue" w:hAnsi="Helvetica Neue"/>
                                    <w:color w:val="1D5782"/>
                                    <w:sz w:val="18"/>
                                    <w:szCs w:val="20"/>
                                  </w:rPr>
                                  <w:t>steffie.corcoran@sde.ok.gov</w:t>
                                </w:r>
                              </w:hyperlink>
                            </w:p>
                            <w:p w:rsidR="00A36710" w:rsidRPr="00A36710" w:rsidRDefault="00A36710">
                              <w:pPr>
                                <w:pStyle w:val="m-2261003678408586105gdp"/>
                                <w:spacing w:before="195" w:beforeAutospacing="0" w:after="195" w:afterAutospacing="0"/>
                                <w:rPr>
                                  <w:rFonts w:ascii="Helvetica Neue" w:hAnsi="Helvetica Neue"/>
                                  <w:sz w:val="18"/>
                                  <w:szCs w:val="20"/>
                                </w:rPr>
                              </w:pPr>
                              <w:r w:rsidRPr="00A36710">
                                <w:rPr>
                                  <w:rFonts w:ascii="Helvetica Neue" w:hAnsi="Helvetica Neue"/>
                                  <w:sz w:val="18"/>
                                  <w:szCs w:val="20"/>
                                </w:rPr>
                                <w:t>Deana Silk</w:t>
                              </w:r>
                              <w:r w:rsidRPr="00A36710">
                                <w:rPr>
                                  <w:rFonts w:ascii="Helvetica Neue" w:hAnsi="Helvetica Neue"/>
                                  <w:sz w:val="18"/>
                                  <w:szCs w:val="20"/>
                                </w:rPr>
                                <w:br/>
                                <w:t>Deputy Director of Communications</w:t>
                              </w:r>
                              <w:r w:rsidRPr="00A36710">
                                <w:rPr>
                                  <w:rFonts w:ascii="Helvetica Neue" w:hAnsi="Helvetica Neue"/>
                                  <w:sz w:val="18"/>
                                  <w:szCs w:val="20"/>
                                </w:rPr>
                                <w:br/>
                                <w:t>(405) 521-3371, c: (405) 760-7881</w:t>
                              </w:r>
                              <w:r w:rsidRPr="00A36710">
                                <w:rPr>
                                  <w:rFonts w:ascii="Helvetica Neue" w:hAnsi="Helvetica Neue"/>
                                  <w:sz w:val="18"/>
                                  <w:szCs w:val="20"/>
                                </w:rPr>
                                <w:br/>
                              </w:r>
                              <w:hyperlink r:id="rId7" w:tgtFrame="_blank" w:history="1">
                                <w:r w:rsidRPr="00A36710">
                                  <w:rPr>
                                    <w:rStyle w:val="Hyperlink"/>
                                    <w:rFonts w:ascii="Helvetica Neue" w:hAnsi="Helvetica Neue"/>
                                    <w:color w:val="1D5782"/>
                                    <w:sz w:val="18"/>
                                    <w:szCs w:val="20"/>
                                  </w:rPr>
                                  <w:t>deana.silk@sde.ok.gov</w:t>
                                </w:r>
                              </w:hyperlink>
                            </w:p>
                            <w:p w:rsidR="00A36710" w:rsidRPr="00A36710" w:rsidRDefault="00A36710">
                              <w:pPr>
                                <w:pStyle w:val="m-2261003678408586105gdp"/>
                                <w:spacing w:before="195" w:beforeAutospacing="0" w:after="195" w:afterAutospacing="0"/>
                                <w:rPr>
                                  <w:rFonts w:ascii="Helvetica Neue" w:hAnsi="Helvetica Neue"/>
                                  <w:sz w:val="18"/>
                                  <w:szCs w:val="20"/>
                                </w:rPr>
                              </w:pPr>
                              <w:r w:rsidRPr="00A36710">
                                <w:rPr>
                                  <w:rFonts w:ascii="Helvetica Neue" w:hAnsi="Helvetica Neue"/>
                                  <w:sz w:val="18"/>
                                  <w:szCs w:val="20"/>
                                </w:rPr>
                                <w:t>Erin Jasmer</w:t>
                              </w:r>
                              <w:r w:rsidRPr="00A36710">
                                <w:rPr>
                                  <w:rFonts w:ascii="Helvetica Neue" w:hAnsi="Helvetica Neue"/>
                                  <w:sz w:val="18"/>
                                  <w:szCs w:val="20"/>
                                </w:rPr>
                                <w:br/>
                                <w:t>Communications Specialist</w:t>
                              </w:r>
                              <w:r w:rsidRPr="00A36710">
                                <w:rPr>
                                  <w:rFonts w:ascii="Helvetica Neue" w:hAnsi="Helvetica Neue"/>
                                  <w:sz w:val="18"/>
                                  <w:szCs w:val="20"/>
                                </w:rPr>
                                <w:br/>
                                <w:t>(405) 521-3375, c: (405) 650-0325</w:t>
                              </w:r>
                              <w:r w:rsidRPr="00A36710">
                                <w:rPr>
                                  <w:rFonts w:ascii="Helvetica Neue" w:hAnsi="Helvetica Neue"/>
                                  <w:sz w:val="18"/>
                                  <w:szCs w:val="20"/>
                                </w:rPr>
                                <w:br/>
                              </w:r>
                              <w:hyperlink r:id="rId8" w:tgtFrame="_blank" w:history="1">
                                <w:r w:rsidRPr="00A36710">
                                  <w:rPr>
                                    <w:rStyle w:val="Hyperlink"/>
                                    <w:rFonts w:ascii="Helvetica Neue" w:hAnsi="Helvetica Neue"/>
                                    <w:color w:val="1D5782"/>
                                    <w:sz w:val="18"/>
                                    <w:szCs w:val="20"/>
                                  </w:rPr>
                                  <w:t>erin.jasmer@sde.ok.gov</w:t>
                                </w:r>
                              </w:hyperlink>
                            </w:p>
                          </w:tc>
                        </w:tr>
                      </w:tbl>
                      <w:p w:rsidR="00A36710" w:rsidRPr="00A36710" w:rsidRDefault="00A36710">
                        <w:pPr>
                          <w:pStyle w:val="Heading2"/>
                          <w:spacing w:before="0" w:beforeAutospacing="0" w:after="195" w:afterAutospacing="0"/>
                          <w:jc w:val="center"/>
                          <w:rPr>
                            <w:rFonts w:ascii="Helvetica Neue" w:eastAsiaTheme="minorHAnsi" w:hAnsi="Helvetica Neue"/>
                            <w:sz w:val="18"/>
                            <w:szCs w:val="26"/>
                          </w:rPr>
                        </w:pPr>
                        <w:r w:rsidRPr="00A36710">
                          <w:rPr>
                            <w:rFonts w:ascii="Helvetica Neue" w:eastAsiaTheme="minorHAnsi" w:hAnsi="Helvetica Neue"/>
                            <w:sz w:val="18"/>
                            <w:szCs w:val="26"/>
                          </w:rPr>
                          <w:t>FOR IMMEDIATE RELEASE:</w:t>
                        </w:r>
                      </w:p>
                    </w:tc>
                  </w:tr>
                  <w:tr w:rsidR="00A36710" w:rsidRPr="00A36710">
                    <w:trPr>
                      <w:jc w:val="center"/>
                    </w:trPr>
                    <w:tc>
                      <w:tcPr>
                        <w:tcW w:w="0" w:type="auto"/>
                        <w:tcMar>
                          <w:top w:w="15" w:type="dxa"/>
                          <w:left w:w="15" w:type="dxa"/>
                          <w:bottom w:w="15" w:type="dxa"/>
                          <w:right w:w="15" w:type="dxa"/>
                        </w:tcMar>
                        <w:hideMark/>
                      </w:tcPr>
                      <w:p w:rsidR="00A36710" w:rsidRPr="00A36710" w:rsidRDefault="00A36710">
                        <w:pPr>
                          <w:rPr>
                            <w:rFonts w:asciiTheme="minorHAnsi" w:hAnsiTheme="minorHAnsi"/>
                            <w:sz w:val="18"/>
                            <w:szCs w:val="22"/>
                          </w:rPr>
                        </w:pPr>
                      </w:p>
                    </w:tc>
                  </w:tr>
                  <w:tr w:rsidR="00A36710" w:rsidRPr="00A36710">
                    <w:trPr>
                      <w:jc w:val="center"/>
                    </w:trPr>
                    <w:tc>
                      <w:tcPr>
                        <w:tcW w:w="0" w:type="auto"/>
                        <w:tcMar>
                          <w:top w:w="0" w:type="dxa"/>
                          <w:left w:w="0" w:type="dxa"/>
                          <w:bottom w:w="0" w:type="dxa"/>
                          <w:right w:w="0" w:type="dxa"/>
                        </w:tcMar>
                        <w:hideMark/>
                      </w:tcPr>
                      <w:tbl>
                        <w:tblPr>
                          <w:tblW w:w="5000" w:type="pct"/>
                          <w:tblLook w:val="04A0" w:firstRow="1" w:lastRow="0" w:firstColumn="1" w:lastColumn="0" w:noHBand="0" w:noVBand="1"/>
                        </w:tblPr>
                        <w:tblGrid>
                          <w:gridCol w:w="9000"/>
                        </w:tblGrid>
                        <w:tr w:rsidR="00A36710" w:rsidRPr="00A36710">
                          <w:tc>
                            <w:tcPr>
                              <w:tcW w:w="0" w:type="auto"/>
                              <w:tcMar>
                                <w:top w:w="15" w:type="dxa"/>
                                <w:left w:w="15" w:type="dxa"/>
                                <w:bottom w:w="15" w:type="dxa"/>
                                <w:right w:w="15" w:type="dxa"/>
                              </w:tcMar>
                              <w:hideMark/>
                            </w:tcPr>
                            <w:p w:rsidR="00A36710" w:rsidRPr="00A36710" w:rsidRDefault="00A36710">
                              <w:pPr>
                                <w:pStyle w:val="Heading1"/>
                                <w:spacing w:before="0" w:beforeAutospacing="0" w:after="75" w:afterAutospacing="0"/>
                                <w:jc w:val="center"/>
                                <w:rPr>
                                  <w:rFonts w:ascii="Arial" w:eastAsiaTheme="minorHAnsi" w:hAnsi="Arial" w:cs="Arial"/>
                                  <w:color w:val="000000"/>
                                  <w:sz w:val="18"/>
                                  <w:szCs w:val="38"/>
                                </w:rPr>
                              </w:pPr>
                              <w:r w:rsidRPr="00A36710">
                                <w:rPr>
                                  <w:rFonts w:ascii="Arial" w:eastAsiaTheme="minorHAnsi" w:hAnsi="Arial" w:cs="Arial"/>
                                  <w:color w:val="000000"/>
                                  <w:sz w:val="18"/>
                                  <w:szCs w:val="38"/>
                                </w:rPr>
                                <w:t>Oklahoma wins $2 million statewide grant for early college, career initiatives</w:t>
                              </w:r>
                            </w:p>
                            <w:p w:rsidR="00A36710" w:rsidRPr="00A36710" w:rsidRDefault="00A36710">
                              <w:pPr>
                                <w:pStyle w:val="m-2261003678408586105gdp"/>
                                <w:spacing w:before="0" w:beforeAutospacing="0" w:after="225" w:afterAutospacing="0"/>
                                <w:rPr>
                                  <w:rFonts w:ascii="Palatino" w:hAnsi="Palatino"/>
                                  <w:color w:val="000000"/>
                                  <w:sz w:val="18"/>
                                  <w:szCs w:val="23"/>
                                </w:rPr>
                              </w:pPr>
                              <w:r w:rsidRPr="00A36710">
                                <w:rPr>
                                  <w:rFonts w:ascii="Palatino" w:hAnsi="Palatino"/>
                                  <w:b/>
                                  <w:bCs/>
                                  <w:color w:val="000000"/>
                                  <w:sz w:val="18"/>
                                  <w:szCs w:val="23"/>
                                </w:rPr>
                                <w:t xml:space="preserve">OKLAHOMA CITY (Jan. 11, 2017) </w:t>
                              </w:r>
                              <w:r w:rsidRPr="00A36710">
                                <w:rPr>
                                  <w:rFonts w:ascii="Palatino" w:hAnsi="Palatino"/>
                                  <w:color w:val="000000"/>
                                  <w:sz w:val="18"/>
                                  <w:szCs w:val="23"/>
                                </w:rPr>
                                <w:t>–</w:t>
                              </w:r>
                              <w:r w:rsidRPr="00A36710">
                                <w:rPr>
                                  <w:rFonts w:ascii="Palatino" w:hAnsi="Palatino"/>
                                  <w:b/>
                                  <w:bCs/>
                                  <w:color w:val="000000"/>
                                  <w:sz w:val="18"/>
                                  <w:szCs w:val="23"/>
                                </w:rPr>
                                <w:t xml:space="preserve"> </w:t>
                              </w:r>
                              <w:r w:rsidRPr="00A36710">
                                <w:rPr>
                                  <w:rFonts w:ascii="Palatino" w:hAnsi="Palatino"/>
                                  <w:color w:val="000000"/>
                                  <w:sz w:val="18"/>
                                  <w:szCs w:val="23"/>
                                </w:rPr>
                                <w:t>State Superintendent of Public Instruction Joy Hofmeister said Oklahoma’s win of a $2 million, three-year statewide grant by the Council of Chief State School Officers (CCSSO) and JPMorgan Chase &amp; Co. will help implement individualized academic plans for kids, redefine the senior year, increase concurrent and dual enrollment with earned college credit and career certification, and better connect schools directly with business and industry.</w:t>
                              </w:r>
                            </w:p>
                            <w:p w:rsidR="00A36710" w:rsidRPr="00A36710" w:rsidRDefault="00A36710">
                              <w:pPr>
                                <w:pStyle w:val="m-2261003678408586105gdp"/>
                                <w:spacing w:before="225" w:beforeAutospacing="0" w:after="225" w:afterAutospacing="0"/>
                                <w:rPr>
                                  <w:rFonts w:ascii="Palatino" w:hAnsi="Palatino"/>
                                  <w:color w:val="000000"/>
                                  <w:sz w:val="18"/>
                                  <w:szCs w:val="23"/>
                                </w:rPr>
                              </w:pPr>
                              <w:r w:rsidRPr="00A36710">
                                <w:rPr>
                                  <w:rFonts w:ascii="Palatino" w:hAnsi="Palatino"/>
                                  <w:color w:val="000000"/>
                                  <w:sz w:val="18"/>
                                  <w:szCs w:val="23"/>
                                </w:rPr>
                                <w:t>Announced today, the grant is part of a $75 million, five-year New Skills for Youth (NSFY) initiative aimed at strengthening career-focused education in 10 U.S. states.</w:t>
                              </w:r>
                            </w:p>
                            <w:p w:rsidR="00A36710" w:rsidRPr="00A36710" w:rsidRDefault="00A36710">
                              <w:pPr>
                                <w:pStyle w:val="m-2261003678408586105gdp"/>
                                <w:spacing w:before="225" w:beforeAutospacing="0" w:after="225" w:afterAutospacing="0"/>
                                <w:rPr>
                                  <w:rFonts w:ascii="Palatino" w:hAnsi="Palatino"/>
                                  <w:color w:val="000000"/>
                                  <w:sz w:val="18"/>
                                  <w:szCs w:val="23"/>
                                </w:rPr>
                              </w:pPr>
                              <w:r w:rsidRPr="00A36710">
                                <w:rPr>
                                  <w:rFonts w:ascii="Palatino" w:hAnsi="Palatino"/>
                                  <w:color w:val="000000"/>
                                  <w:sz w:val="18"/>
                                  <w:szCs w:val="23"/>
                                </w:rPr>
                                <w:t>“We are thrilled that Oklahoma is among a select few states to win this highly competitive grant,” Hofmeister said. “This will enable families to engage early with their own student’s academic strengths, needs and aspirations for the careers and jobs of the future and will equip schools to support that work. We look forward to working with the Governor’s Oklahoma Works initiative and our partners to create opportunities that lead to high-demand, highly skilled, well-paying jobs for Oklahoma’s successive generations. We are very grateful to JP Morgan Chase for the resources to make great things happen.”</w:t>
                              </w:r>
                            </w:p>
                            <w:p w:rsidR="00A36710" w:rsidRPr="00A36710" w:rsidRDefault="00A36710">
                              <w:pPr>
                                <w:pStyle w:val="m-2261003678408586105gdp"/>
                                <w:spacing w:before="225" w:beforeAutospacing="0" w:after="225" w:afterAutospacing="0"/>
                                <w:rPr>
                                  <w:rFonts w:ascii="Palatino" w:hAnsi="Palatino"/>
                                  <w:color w:val="000000"/>
                                  <w:sz w:val="18"/>
                                  <w:szCs w:val="23"/>
                                </w:rPr>
                              </w:pPr>
                              <w:r w:rsidRPr="00A36710">
                                <w:rPr>
                                  <w:rFonts w:ascii="Palatino" w:hAnsi="Palatino"/>
                                  <w:color w:val="000000"/>
                                  <w:sz w:val="18"/>
                                  <w:szCs w:val="23"/>
                                </w:rPr>
                                <w:t>College and career readiness are of particular importance in Oklahoma, where, by the year 2025, three-fourths of Oklahoma jobs will require postsecondary credentials.</w:t>
                              </w:r>
                            </w:p>
                            <w:p w:rsidR="00A36710" w:rsidRPr="00A36710" w:rsidRDefault="00A36710">
                              <w:pPr>
                                <w:pStyle w:val="m-2261003678408586105gdp"/>
                                <w:spacing w:before="225" w:beforeAutospacing="0" w:after="225" w:afterAutospacing="0"/>
                                <w:rPr>
                                  <w:rFonts w:ascii="Palatino" w:hAnsi="Palatino"/>
                                  <w:color w:val="000000"/>
                                  <w:sz w:val="18"/>
                                  <w:szCs w:val="23"/>
                                </w:rPr>
                              </w:pPr>
                              <w:r w:rsidRPr="00A36710">
                                <w:rPr>
                                  <w:rFonts w:ascii="Palatino" w:hAnsi="Palatino"/>
                                  <w:color w:val="000000"/>
                                  <w:sz w:val="18"/>
                                  <w:szCs w:val="23"/>
                                </w:rPr>
                                <w:t>“The workforce of tomorrow will be highly specialized, requiring college degrees and industry credentials in far greater numbers than Oklahoma is currently generating,” said Natalie Shirley, Secretary of Education and Workforce Development for Oklahoma. “Through the Governor’s Oklahoma Works Initiative, we are taking serious steps to close the workforce gap, and the Phase Two grant will provide key funding to allow us to continue and expand this important work. I am proud that education and workforce stakeholders joined with the State Department of Education and Oklahoma’s New Skills for Youth cross-sector team to draft a winning proposal and presentation. I look forward to continued collaboration on college and career readiness projects and initiatives.”</w:t>
                              </w:r>
                            </w:p>
                            <w:p w:rsidR="00A36710" w:rsidRPr="00A36710" w:rsidRDefault="00A36710">
                              <w:pPr>
                                <w:pStyle w:val="m-2261003678408586105gdp"/>
                                <w:spacing w:before="225" w:beforeAutospacing="0" w:after="225" w:afterAutospacing="0"/>
                                <w:rPr>
                                  <w:rFonts w:ascii="Palatino" w:hAnsi="Palatino"/>
                                  <w:color w:val="000000"/>
                                  <w:sz w:val="18"/>
                                  <w:szCs w:val="23"/>
                                </w:rPr>
                              </w:pPr>
                              <w:r w:rsidRPr="00A36710">
                                <w:rPr>
                                  <w:rFonts w:ascii="Palatino" w:hAnsi="Palatino"/>
                                  <w:color w:val="000000"/>
                                  <w:sz w:val="18"/>
                                  <w:szCs w:val="23"/>
                                </w:rPr>
                                <w:t>Oklahoma received the grant after a rigorous review process that included an evaluation of how the state plans to transform the way it designs and develops programs for college and career readiness. In March 2016, the Oklahoma State Department of Education (OSDE) won $100,000 as a NSFY Phase One recipient, with funding subsequently used for planning and early implementation.</w:t>
                              </w:r>
                            </w:p>
                            <w:p w:rsidR="00A36710" w:rsidRPr="00A36710" w:rsidRDefault="00A36710">
                              <w:pPr>
                                <w:pStyle w:val="m-2261003678408586105gdp"/>
                                <w:spacing w:before="225" w:beforeAutospacing="0" w:after="225" w:afterAutospacing="0"/>
                                <w:rPr>
                                  <w:rFonts w:ascii="Palatino" w:hAnsi="Palatino"/>
                                  <w:color w:val="000000"/>
                                  <w:sz w:val="18"/>
                                  <w:szCs w:val="23"/>
                                </w:rPr>
                              </w:pPr>
                              <w:r w:rsidRPr="00A36710">
                                <w:rPr>
                                  <w:rFonts w:ascii="Palatino" w:hAnsi="Palatino"/>
                                  <w:color w:val="000000"/>
                                  <w:sz w:val="18"/>
                                  <w:szCs w:val="23"/>
                                </w:rPr>
                                <w:lastRenderedPageBreak/>
                                <w:t xml:space="preserve">“As a member of the New Skills for Youth grant team, I consider this grant a great step forward for Oklahoma,” said Marcie Mack, director of the state’s Department of Career and Technology Education. </w:t>
                              </w:r>
                            </w:p>
                            <w:p w:rsidR="00A36710" w:rsidRPr="00A36710" w:rsidRDefault="00A36710">
                              <w:pPr>
                                <w:pStyle w:val="m-2261003678408586105gdp"/>
                                <w:spacing w:before="225" w:beforeAutospacing="0" w:after="225" w:afterAutospacing="0"/>
                                <w:rPr>
                                  <w:rFonts w:ascii="Palatino" w:hAnsi="Palatino"/>
                                  <w:color w:val="000000"/>
                                  <w:sz w:val="18"/>
                                  <w:szCs w:val="23"/>
                                </w:rPr>
                              </w:pPr>
                              <w:r w:rsidRPr="00A36710">
                                <w:rPr>
                                  <w:rFonts w:ascii="Palatino" w:hAnsi="Palatino"/>
                                  <w:color w:val="000000"/>
                                  <w:sz w:val="18"/>
                                  <w:szCs w:val="23"/>
                                </w:rPr>
                                <w:t>“</w:t>
                              </w:r>
                              <w:proofErr w:type="spellStart"/>
                              <w:r w:rsidRPr="00A36710">
                                <w:rPr>
                                  <w:rFonts w:ascii="Palatino" w:hAnsi="Palatino"/>
                                  <w:color w:val="000000"/>
                                  <w:sz w:val="18"/>
                                  <w:szCs w:val="23"/>
                                </w:rPr>
                                <w:t>CareerTech</w:t>
                              </w:r>
                              <w:proofErr w:type="spellEnd"/>
                              <w:r w:rsidRPr="00A36710">
                                <w:rPr>
                                  <w:rFonts w:ascii="Palatino" w:hAnsi="Palatino"/>
                                  <w:color w:val="000000"/>
                                  <w:sz w:val="18"/>
                                  <w:szCs w:val="23"/>
                                </w:rPr>
                                <w:t xml:space="preserve">, along with many other partners, is ready to make sure the state’s workforce pipeline is filled and our state’s economic health prospers. </w:t>
                              </w:r>
                              <w:proofErr w:type="spellStart"/>
                              <w:r w:rsidRPr="00A36710">
                                <w:rPr>
                                  <w:rFonts w:ascii="Palatino" w:hAnsi="Palatino"/>
                                  <w:color w:val="000000"/>
                                  <w:sz w:val="18"/>
                                  <w:szCs w:val="23"/>
                                </w:rPr>
                                <w:t>CareerTech</w:t>
                              </w:r>
                              <w:proofErr w:type="spellEnd"/>
                              <w:r w:rsidRPr="00A36710">
                                <w:rPr>
                                  <w:rFonts w:ascii="Palatino" w:hAnsi="Palatino"/>
                                  <w:color w:val="000000"/>
                                  <w:sz w:val="18"/>
                                  <w:szCs w:val="23"/>
                                </w:rPr>
                                <w:t xml:space="preserve"> delivers high-quality education that prepares students for future career success and the demands of Oklahoma companies. We stand ready to meet the goals of the NSFY grant and carry on the outstanding work of the team.”  </w:t>
                              </w:r>
                            </w:p>
                            <w:p w:rsidR="00A36710" w:rsidRPr="00A36710" w:rsidRDefault="00A36710">
                              <w:pPr>
                                <w:pStyle w:val="m-2261003678408586105gdp"/>
                                <w:spacing w:before="225" w:beforeAutospacing="0" w:after="225" w:afterAutospacing="0"/>
                                <w:rPr>
                                  <w:rFonts w:ascii="Palatino" w:hAnsi="Palatino"/>
                                  <w:color w:val="000000"/>
                                  <w:sz w:val="18"/>
                                  <w:szCs w:val="23"/>
                                </w:rPr>
                              </w:pPr>
                              <w:r w:rsidRPr="00A36710">
                                <w:rPr>
                                  <w:rFonts w:ascii="Palatino" w:hAnsi="Palatino"/>
                                  <w:color w:val="000000"/>
                                  <w:sz w:val="18"/>
                                  <w:szCs w:val="23"/>
                                </w:rPr>
                                <w:t xml:space="preserve">With Phase One funds, OSDE mobilized cross-sector groups from public education, </w:t>
                              </w:r>
                              <w:proofErr w:type="spellStart"/>
                              <w:r w:rsidRPr="00A36710">
                                <w:rPr>
                                  <w:rFonts w:ascii="Palatino" w:hAnsi="Palatino"/>
                                  <w:color w:val="000000"/>
                                  <w:sz w:val="18"/>
                                  <w:szCs w:val="23"/>
                                </w:rPr>
                                <w:t>CareerTech</w:t>
                              </w:r>
                              <w:proofErr w:type="spellEnd"/>
                              <w:r w:rsidRPr="00A36710">
                                <w:rPr>
                                  <w:rFonts w:ascii="Palatino" w:hAnsi="Palatino"/>
                                  <w:color w:val="000000"/>
                                  <w:sz w:val="18"/>
                                  <w:szCs w:val="23"/>
                                </w:rPr>
                                <w:t xml:space="preserve">, business and industry and higher education to develop an action plan to broaden and strengthen career education, beginning in middle school, with an end goal of every student obtaining a postsecondary degree or credential aligned with high-skill, high-wage jobs. </w:t>
                              </w:r>
                            </w:p>
                            <w:p w:rsidR="00A36710" w:rsidRPr="00A36710" w:rsidRDefault="00A36710">
                              <w:pPr>
                                <w:pStyle w:val="m-2261003678408586105gdp"/>
                                <w:spacing w:before="225" w:beforeAutospacing="0" w:after="225" w:afterAutospacing="0"/>
                                <w:rPr>
                                  <w:rFonts w:ascii="Palatino" w:hAnsi="Palatino"/>
                                  <w:color w:val="000000"/>
                                  <w:sz w:val="18"/>
                                  <w:szCs w:val="23"/>
                                </w:rPr>
                              </w:pPr>
                              <w:r w:rsidRPr="00A36710">
                                <w:rPr>
                                  <w:rFonts w:ascii="Palatino" w:hAnsi="Palatino"/>
                                  <w:color w:val="000000"/>
                                  <w:sz w:val="18"/>
                                  <w:szCs w:val="23"/>
                                </w:rPr>
                                <w:t xml:space="preserve">“This grant will allow Superintendent Hofmeister and the Oklahoma State Department of Education to continue the great work they are doing to prepare our youth for career advancement,” said David Stewart, chief administrative officer of </w:t>
                              </w:r>
                              <w:proofErr w:type="spellStart"/>
                              <w:r w:rsidRPr="00A36710">
                                <w:rPr>
                                  <w:rFonts w:ascii="Palatino" w:hAnsi="Palatino"/>
                                  <w:color w:val="000000"/>
                                  <w:sz w:val="18"/>
                                  <w:szCs w:val="23"/>
                                </w:rPr>
                                <w:t>MidAmerica</w:t>
                              </w:r>
                              <w:proofErr w:type="spellEnd"/>
                              <w:r w:rsidRPr="00A36710">
                                <w:rPr>
                                  <w:rFonts w:ascii="Palatino" w:hAnsi="Palatino"/>
                                  <w:color w:val="000000"/>
                                  <w:sz w:val="18"/>
                                  <w:szCs w:val="23"/>
                                </w:rPr>
                                <w:t xml:space="preserve"> Industrial Park in Pryor and a member of the New Skills for Youth grant team.</w:t>
                              </w:r>
                            </w:p>
                            <w:p w:rsidR="00A36710" w:rsidRPr="00A36710" w:rsidRDefault="00A36710">
                              <w:pPr>
                                <w:pStyle w:val="m-2261003678408586105gdp"/>
                                <w:spacing w:before="225" w:beforeAutospacing="0" w:after="225" w:afterAutospacing="0"/>
                                <w:rPr>
                                  <w:rFonts w:ascii="Palatino" w:hAnsi="Palatino"/>
                                  <w:color w:val="000000"/>
                                  <w:sz w:val="18"/>
                                  <w:szCs w:val="23"/>
                                </w:rPr>
                              </w:pPr>
                              <w:r w:rsidRPr="00A36710">
                                <w:rPr>
                                  <w:rFonts w:ascii="Palatino" w:hAnsi="Palatino"/>
                                  <w:color w:val="000000"/>
                                  <w:sz w:val="18"/>
                                  <w:szCs w:val="23"/>
                                </w:rPr>
                                <w:t>Initiatives that will develop further as a result of Phase Two include Individual Career Academic Plans (ICAPs) for Oklahoma students, an engaging website with career pathways information and redefining the senior year for students to pursue meaningful work toward college and career success, whether in the form of concurrent or dual enrollment, internships, mentorships, industry certifications or other individualized pathways.</w:t>
                              </w:r>
                            </w:p>
                            <w:p w:rsidR="00A36710" w:rsidRPr="00A36710" w:rsidRDefault="00A36710">
                              <w:pPr>
                                <w:pStyle w:val="m-2261003678408586105gdp"/>
                                <w:spacing w:before="225" w:beforeAutospacing="0" w:after="225" w:afterAutospacing="0"/>
                                <w:rPr>
                                  <w:rFonts w:ascii="Palatino" w:hAnsi="Palatino"/>
                                  <w:color w:val="000000"/>
                                  <w:sz w:val="18"/>
                                  <w:szCs w:val="23"/>
                                </w:rPr>
                              </w:pPr>
                              <w:r w:rsidRPr="00A36710">
                                <w:rPr>
                                  <w:rFonts w:ascii="Palatino" w:hAnsi="Palatino"/>
                                  <w:color w:val="000000"/>
                                  <w:sz w:val="18"/>
                                  <w:szCs w:val="23"/>
                                </w:rPr>
                                <w:t>“Because Oklahoma is leading the way with innovative approaches to bridge the skills gap, JPMorgan Chase is proud to make this grant that will support educational efforts across our state,” said David Page, vice chairman for JPMorgan Chase, Oklahoma. “It’s essential that we continue to bring employers and schools together so that our students have ample opportunity to gain the career skills that will help them get a good job at a good wage.”</w:t>
                              </w:r>
                            </w:p>
                            <w:p w:rsidR="00A36710" w:rsidRPr="00A36710" w:rsidRDefault="00A36710">
                              <w:pPr>
                                <w:pStyle w:val="m-2261003678408586105gdp"/>
                                <w:spacing w:before="225" w:beforeAutospacing="0" w:after="225" w:afterAutospacing="0"/>
                                <w:rPr>
                                  <w:rFonts w:ascii="Palatino" w:hAnsi="Palatino"/>
                                  <w:color w:val="000000"/>
                                  <w:sz w:val="18"/>
                                  <w:szCs w:val="23"/>
                                </w:rPr>
                              </w:pPr>
                              <w:r w:rsidRPr="00A36710">
                                <w:rPr>
                                  <w:rFonts w:ascii="Palatino" w:hAnsi="Palatino"/>
                                  <w:color w:val="000000"/>
                                  <w:sz w:val="18"/>
                                  <w:szCs w:val="23"/>
                                </w:rPr>
                                <w:t xml:space="preserve">Today’s announcement took place at 1:30 p.m. in Midwest City at Carl Albert Middle School, where an innovative pre-engineering program, Project Lead the Way, is offered to students from 6th grade through high school study at Mid-Del Technology Center. </w:t>
                              </w:r>
                            </w:p>
                            <w:p w:rsidR="00A36710" w:rsidRPr="00A36710" w:rsidRDefault="00A36710">
                              <w:pPr>
                                <w:pStyle w:val="m-2261003678408586105gdp"/>
                                <w:spacing w:before="225" w:beforeAutospacing="0" w:after="225" w:afterAutospacing="0"/>
                                <w:rPr>
                                  <w:rFonts w:ascii="Palatino" w:hAnsi="Palatino"/>
                                  <w:color w:val="000000"/>
                                  <w:sz w:val="18"/>
                                  <w:szCs w:val="23"/>
                                </w:rPr>
                              </w:pPr>
                              <w:r w:rsidRPr="00A36710">
                                <w:rPr>
                                  <w:rFonts w:ascii="Palatino" w:hAnsi="Palatino"/>
                                  <w:color w:val="000000"/>
                                  <w:sz w:val="18"/>
                                  <w:szCs w:val="23"/>
                                </w:rPr>
                                <w:t xml:space="preserve">“Mid-Del Schools is excited to learn that the Oklahoma State Department of Education will have the added resources of this grant to help redefine the high school experience for students,” said Rick Cobb, superintendent of Mid-Del Public Schools. “The best learning comes when students can pursue individual goals rather than merely completing courses. Our Project Lead the Way Programs </w:t>
                              </w:r>
                              <w:proofErr w:type="gramStart"/>
                              <w:r w:rsidRPr="00A36710">
                                <w:rPr>
                                  <w:rFonts w:ascii="Palatino" w:hAnsi="Palatino"/>
                                  <w:color w:val="000000"/>
                                  <w:sz w:val="18"/>
                                  <w:szCs w:val="23"/>
                                </w:rPr>
                                <w:t>exemplify</w:t>
                              </w:r>
                              <w:proofErr w:type="gramEnd"/>
                              <w:r w:rsidRPr="00A36710">
                                <w:rPr>
                                  <w:rFonts w:ascii="Palatino" w:hAnsi="Palatino"/>
                                  <w:color w:val="000000"/>
                                  <w:sz w:val="18"/>
                                  <w:szCs w:val="23"/>
                                </w:rPr>
                                <w:t xml:space="preserve"> this type of learning, and we are glad to showcase them for state leaders.”</w:t>
                              </w:r>
                            </w:p>
                            <w:p w:rsidR="00A36710" w:rsidRPr="00A36710" w:rsidRDefault="00A36710">
                              <w:pPr>
                                <w:pStyle w:val="m-2261003678408586105gdp"/>
                                <w:spacing w:before="225" w:beforeAutospacing="0" w:after="225" w:afterAutospacing="0"/>
                                <w:rPr>
                                  <w:rFonts w:ascii="Palatino" w:hAnsi="Palatino"/>
                                  <w:color w:val="000000"/>
                                  <w:sz w:val="18"/>
                                  <w:szCs w:val="23"/>
                                </w:rPr>
                              </w:pPr>
                              <w:r w:rsidRPr="00A36710">
                                <w:rPr>
                                  <w:rFonts w:ascii="Palatino" w:hAnsi="Palatino"/>
                                  <w:color w:val="000000"/>
                                  <w:sz w:val="18"/>
                                  <w:szCs w:val="23"/>
                                </w:rPr>
                                <w:t>Hofmeister said the grant will help ensure success.</w:t>
                              </w:r>
                            </w:p>
                            <w:p w:rsidR="00A36710" w:rsidRPr="00A36710" w:rsidRDefault="00A36710">
                              <w:pPr>
                                <w:pStyle w:val="m-2261003678408586105gdp"/>
                                <w:spacing w:before="225" w:beforeAutospacing="0" w:after="225" w:afterAutospacing="0"/>
                                <w:rPr>
                                  <w:rFonts w:ascii="Palatino" w:hAnsi="Palatino"/>
                                  <w:color w:val="000000"/>
                                  <w:sz w:val="18"/>
                                  <w:szCs w:val="23"/>
                                </w:rPr>
                              </w:pPr>
                              <w:r w:rsidRPr="00A36710">
                                <w:rPr>
                                  <w:rFonts w:ascii="Palatino" w:hAnsi="Palatino"/>
                                  <w:color w:val="000000"/>
                                  <w:sz w:val="18"/>
                                  <w:szCs w:val="23"/>
                                </w:rPr>
                                <w:t>“Together, we can shape a new, prosperous Oklahoma workforce,” she said. “There is no time to waste.”</w:t>
                              </w:r>
                            </w:p>
                            <w:p w:rsidR="00A36710" w:rsidRPr="00A36710" w:rsidRDefault="00A36710">
                              <w:pPr>
                                <w:pStyle w:val="m-2261003678408586105gdp"/>
                                <w:spacing w:before="225" w:beforeAutospacing="0" w:after="225" w:afterAutospacing="0"/>
                                <w:rPr>
                                  <w:rFonts w:ascii="Palatino" w:hAnsi="Palatino"/>
                                  <w:color w:val="000000"/>
                                  <w:sz w:val="18"/>
                                  <w:szCs w:val="23"/>
                                </w:rPr>
                              </w:pPr>
                              <w:r w:rsidRPr="00A36710">
                                <w:rPr>
                                  <w:rFonts w:ascii="Palatino" w:hAnsi="Palatino"/>
                                  <w:color w:val="000000"/>
                                  <w:sz w:val="18"/>
                                  <w:szCs w:val="23"/>
                                </w:rPr>
                                <w:t>Other recipients of the grant are Delaware, Kentucky, Louisiana, Massachusetts, Nevada, Ohio, Rhode Island, Tennessee and Wisconsin.</w:t>
                              </w:r>
                            </w:p>
                            <w:p w:rsidR="00A36710" w:rsidRPr="00A36710" w:rsidRDefault="00A36710">
                              <w:pPr>
                                <w:pStyle w:val="Heading3"/>
                                <w:spacing w:before="0" w:beforeAutospacing="0" w:after="225" w:afterAutospacing="0"/>
                                <w:jc w:val="center"/>
                                <w:rPr>
                                  <w:rFonts w:ascii="Helvetica Neue" w:eastAsiaTheme="minorHAnsi" w:hAnsi="Helvetica Neue"/>
                                  <w:sz w:val="18"/>
                                  <w:szCs w:val="23"/>
                                </w:rPr>
                              </w:pPr>
                              <w:r w:rsidRPr="00A36710">
                                <w:rPr>
                                  <w:rFonts w:ascii="Helvetica Neue" w:eastAsiaTheme="minorHAnsi" w:hAnsi="Helvetica Neue"/>
                                  <w:sz w:val="18"/>
                                  <w:szCs w:val="23"/>
                                </w:rPr>
                                <w:t>###</w:t>
                              </w:r>
                            </w:p>
                          </w:tc>
                        </w:tr>
                      </w:tbl>
                      <w:p w:rsidR="00A36710" w:rsidRPr="00A36710" w:rsidRDefault="00A36710">
                        <w:pPr>
                          <w:rPr>
                            <w:rFonts w:asciiTheme="minorHAnsi" w:hAnsiTheme="minorHAnsi"/>
                            <w:sz w:val="18"/>
                            <w:szCs w:val="22"/>
                          </w:rPr>
                        </w:pPr>
                      </w:p>
                    </w:tc>
                  </w:tr>
                  <w:tr w:rsidR="00A36710" w:rsidRPr="00A36710">
                    <w:trPr>
                      <w:jc w:val="center"/>
                    </w:trPr>
                    <w:tc>
                      <w:tcPr>
                        <w:tcW w:w="0" w:type="auto"/>
                        <w:tcMar>
                          <w:top w:w="15" w:type="dxa"/>
                          <w:left w:w="15" w:type="dxa"/>
                          <w:bottom w:w="15" w:type="dxa"/>
                          <w:right w:w="15" w:type="dxa"/>
                        </w:tcMar>
                        <w:hideMark/>
                      </w:tcPr>
                      <w:p w:rsidR="00A36710" w:rsidRPr="00A36710" w:rsidRDefault="00A36710">
                        <w:pPr>
                          <w:rPr>
                            <w:rFonts w:asciiTheme="minorHAnsi" w:hAnsiTheme="minorHAnsi"/>
                            <w:sz w:val="18"/>
                            <w:szCs w:val="22"/>
                          </w:rPr>
                        </w:pPr>
                      </w:p>
                    </w:tc>
                  </w:tr>
                </w:tbl>
                <w:p w:rsidR="00A36710" w:rsidRPr="00A36710" w:rsidRDefault="00A36710">
                  <w:pPr>
                    <w:jc w:val="center"/>
                    <w:rPr>
                      <w:rFonts w:asciiTheme="minorHAnsi" w:hAnsiTheme="minorHAnsi"/>
                      <w:sz w:val="18"/>
                      <w:szCs w:val="22"/>
                    </w:rPr>
                  </w:pPr>
                </w:p>
              </w:tc>
            </w:tr>
          </w:tbl>
          <w:p w:rsidR="00A36710" w:rsidRPr="00A36710" w:rsidRDefault="00A36710">
            <w:pPr>
              <w:rPr>
                <w:vanish/>
                <w:sz w:val="18"/>
              </w:rPr>
            </w:pPr>
          </w:p>
          <w:tbl>
            <w:tblPr>
              <w:tblW w:w="10500" w:type="dxa"/>
              <w:tblCellSpacing w:w="0" w:type="dxa"/>
              <w:tblCellMar>
                <w:left w:w="0" w:type="dxa"/>
                <w:right w:w="0" w:type="dxa"/>
              </w:tblCellMar>
              <w:tblLook w:val="04A0" w:firstRow="1" w:lastRow="0" w:firstColumn="1" w:lastColumn="0" w:noHBand="0" w:noVBand="1"/>
            </w:tblPr>
            <w:tblGrid>
              <w:gridCol w:w="1174"/>
              <w:gridCol w:w="5771"/>
              <w:gridCol w:w="454"/>
              <w:gridCol w:w="480"/>
              <w:gridCol w:w="480"/>
              <w:gridCol w:w="480"/>
              <w:gridCol w:w="480"/>
              <w:gridCol w:w="480"/>
              <w:gridCol w:w="786"/>
            </w:tblGrid>
            <w:tr w:rsidR="00A36710" w:rsidRPr="00A36710">
              <w:trPr>
                <w:tblCellSpacing w:w="0" w:type="dxa"/>
              </w:trPr>
              <w:tc>
                <w:tcPr>
                  <w:tcW w:w="0" w:type="auto"/>
                  <w:vAlign w:val="center"/>
                  <w:hideMark/>
                </w:tcPr>
                <w:p w:rsidR="00A36710" w:rsidRPr="00A36710" w:rsidRDefault="00A36710">
                  <w:pPr>
                    <w:rPr>
                      <w:sz w:val="18"/>
                    </w:rPr>
                  </w:pPr>
                  <w:r w:rsidRPr="00A36710">
                    <w:rPr>
                      <w:noProof/>
                      <w:color w:val="0000FF"/>
                      <w:sz w:val="18"/>
                    </w:rPr>
                    <w:drawing>
                      <wp:inline distT="0" distB="0" distL="0" distR="0" wp14:anchorId="2FF6CD7F" wp14:editId="2A3653A2">
                        <wp:extent cx="745490" cy="696595"/>
                        <wp:effectExtent l="0" t="0" r="0" b="8255"/>
                        <wp:docPr id="10" name="Picture 10" descr="bird image">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490" cy="696595"/>
                                </a:xfrm>
                                <a:prstGeom prst="rect">
                                  <a:avLst/>
                                </a:prstGeom>
                                <a:noFill/>
                                <a:ln>
                                  <a:noFill/>
                                </a:ln>
                              </pic:spPr>
                            </pic:pic>
                          </a:graphicData>
                        </a:graphic>
                      </wp:inline>
                    </w:drawing>
                  </w:r>
                </w:p>
              </w:tc>
              <w:tc>
                <w:tcPr>
                  <w:tcW w:w="0" w:type="auto"/>
                  <w:vAlign w:val="center"/>
                  <w:hideMark/>
                </w:tcPr>
                <w:p w:rsidR="00A36710" w:rsidRPr="00A36710" w:rsidRDefault="00A36710">
                  <w:pPr>
                    <w:rPr>
                      <w:sz w:val="18"/>
                    </w:rPr>
                  </w:pPr>
                  <w:r w:rsidRPr="00A36710">
                    <w:rPr>
                      <w:noProof/>
                      <w:sz w:val="18"/>
                    </w:rPr>
                    <w:drawing>
                      <wp:inline distT="0" distB="0" distL="0" distR="0" wp14:anchorId="0133472C" wp14:editId="273E03E1">
                        <wp:extent cx="3664585" cy="696595"/>
                        <wp:effectExtent l="0" t="0" r="0" b="8255"/>
                        <wp:docPr id="9" name="Picture 9" descr="blu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foo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4585" cy="696595"/>
                                </a:xfrm>
                                <a:prstGeom prst="rect">
                                  <a:avLst/>
                                </a:prstGeom>
                                <a:noFill/>
                                <a:ln>
                                  <a:noFill/>
                                </a:ln>
                              </pic:spPr>
                            </pic:pic>
                          </a:graphicData>
                        </a:graphic>
                      </wp:inline>
                    </w:drawing>
                  </w:r>
                </w:p>
              </w:tc>
              <w:tc>
                <w:tcPr>
                  <w:tcW w:w="0" w:type="auto"/>
                  <w:vAlign w:val="center"/>
                  <w:hideMark/>
                </w:tcPr>
                <w:p w:rsidR="00A36710" w:rsidRPr="00A36710" w:rsidRDefault="00A36710">
                  <w:pPr>
                    <w:rPr>
                      <w:sz w:val="18"/>
                    </w:rPr>
                  </w:pPr>
                  <w:r w:rsidRPr="00A36710">
                    <w:rPr>
                      <w:noProof/>
                      <w:color w:val="0000FF"/>
                      <w:sz w:val="18"/>
                    </w:rPr>
                    <w:drawing>
                      <wp:inline distT="0" distB="0" distL="0" distR="0" wp14:anchorId="11279E9E" wp14:editId="37FCC424">
                        <wp:extent cx="288290" cy="696595"/>
                        <wp:effectExtent l="0" t="0" r="0" b="8255"/>
                        <wp:docPr id="8" name="Picture 8" descr="gov ico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v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290" cy="696595"/>
                                </a:xfrm>
                                <a:prstGeom prst="rect">
                                  <a:avLst/>
                                </a:prstGeom>
                                <a:noFill/>
                                <a:ln>
                                  <a:noFill/>
                                </a:ln>
                              </pic:spPr>
                            </pic:pic>
                          </a:graphicData>
                        </a:graphic>
                      </wp:inline>
                    </w:drawing>
                  </w:r>
                </w:p>
              </w:tc>
              <w:tc>
                <w:tcPr>
                  <w:tcW w:w="0" w:type="auto"/>
                  <w:vAlign w:val="center"/>
                  <w:hideMark/>
                </w:tcPr>
                <w:p w:rsidR="00A36710" w:rsidRPr="00A36710" w:rsidRDefault="00A36710">
                  <w:pPr>
                    <w:rPr>
                      <w:sz w:val="18"/>
                    </w:rPr>
                  </w:pPr>
                  <w:r w:rsidRPr="00A36710">
                    <w:rPr>
                      <w:noProof/>
                      <w:color w:val="0000FF"/>
                      <w:sz w:val="18"/>
                    </w:rPr>
                    <w:drawing>
                      <wp:inline distT="0" distB="0" distL="0" distR="0" wp14:anchorId="76FD65C4" wp14:editId="7235F9C6">
                        <wp:extent cx="295275" cy="696595"/>
                        <wp:effectExtent l="0" t="0" r="9525" b="8255"/>
                        <wp:docPr id="7" name="Picture 7" descr="twitter icon">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75" cy="696595"/>
                                </a:xfrm>
                                <a:prstGeom prst="rect">
                                  <a:avLst/>
                                </a:prstGeom>
                                <a:noFill/>
                                <a:ln>
                                  <a:noFill/>
                                </a:ln>
                              </pic:spPr>
                            </pic:pic>
                          </a:graphicData>
                        </a:graphic>
                      </wp:inline>
                    </w:drawing>
                  </w:r>
                </w:p>
              </w:tc>
              <w:tc>
                <w:tcPr>
                  <w:tcW w:w="0" w:type="auto"/>
                  <w:vAlign w:val="center"/>
                  <w:hideMark/>
                </w:tcPr>
                <w:p w:rsidR="00A36710" w:rsidRPr="00A36710" w:rsidRDefault="00A36710">
                  <w:pPr>
                    <w:rPr>
                      <w:sz w:val="18"/>
                    </w:rPr>
                  </w:pPr>
                  <w:r w:rsidRPr="00A36710">
                    <w:rPr>
                      <w:noProof/>
                      <w:color w:val="0000FF"/>
                      <w:sz w:val="18"/>
                    </w:rPr>
                    <w:drawing>
                      <wp:inline distT="0" distB="0" distL="0" distR="0" wp14:anchorId="1BBC1E96" wp14:editId="1AEE2B7F">
                        <wp:extent cx="295275" cy="696595"/>
                        <wp:effectExtent l="0" t="0" r="9525" b="8255"/>
                        <wp:docPr id="6" name="Picture 6" descr="facebook icon">
                          <a:hlinkClick xmlns:a="http://schemas.openxmlformats.org/drawingml/2006/main" r:id="rId16" tgtFrame="_blank" tooltip="Find us on 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696595"/>
                                </a:xfrm>
                                <a:prstGeom prst="rect">
                                  <a:avLst/>
                                </a:prstGeom>
                                <a:noFill/>
                                <a:ln>
                                  <a:noFill/>
                                </a:ln>
                              </pic:spPr>
                            </pic:pic>
                          </a:graphicData>
                        </a:graphic>
                      </wp:inline>
                    </w:drawing>
                  </w:r>
                </w:p>
              </w:tc>
              <w:tc>
                <w:tcPr>
                  <w:tcW w:w="0" w:type="auto"/>
                  <w:vAlign w:val="center"/>
                  <w:hideMark/>
                </w:tcPr>
                <w:p w:rsidR="00A36710" w:rsidRPr="00A36710" w:rsidRDefault="00A36710">
                  <w:pPr>
                    <w:rPr>
                      <w:sz w:val="18"/>
                    </w:rPr>
                  </w:pPr>
                  <w:r w:rsidRPr="00A36710">
                    <w:rPr>
                      <w:noProof/>
                      <w:sz w:val="18"/>
                    </w:rPr>
                    <w:drawing>
                      <wp:inline distT="0" distB="0" distL="0" distR="0" wp14:anchorId="3E077A28" wp14:editId="3FE63443">
                        <wp:extent cx="295275" cy="696595"/>
                        <wp:effectExtent l="0" t="0" r="9525" b="8255"/>
                        <wp:docPr id="5" name="Picture 5" descr="flic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icr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 cy="696595"/>
                                </a:xfrm>
                                <a:prstGeom prst="rect">
                                  <a:avLst/>
                                </a:prstGeom>
                                <a:noFill/>
                                <a:ln>
                                  <a:noFill/>
                                </a:ln>
                              </pic:spPr>
                            </pic:pic>
                          </a:graphicData>
                        </a:graphic>
                      </wp:inline>
                    </w:drawing>
                  </w:r>
                </w:p>
              </w:tc>
              <w:tc>
                <w:tcPr>
                  <w:tcW w:w="0" w:type="auto"/>
                  <w:vAlign w:val="center"/>
                  <w:hideMark/>
                </w:tcPr>
                <w:p w:rsidR="00A36710" w:rsidRPr="00A36710" w:rsidRDefault="00A36710">
                  <w:pPr>
                    <w:rPr>
                      <w:sz w:val="18"/>
                    </w:rPr>
                  </w:pPr>
                  <w:r w:rsidRPr="00A36710">
                    <w:rPr>
                      <w:noProof/>
                      <w:color w:val="0000FF"/>
                      <w:sz w:val="18"/>
                    </w:rPr>
                    <w:drawing>
                      <wp:inline distT="0" distB="0" distL="0" distR="0" wp14:anchorId="7D6FBF1C" wp14:editId="43038E08">
                        <wp:extent cx="295275" cy="696595"/>
                        <wp:effectExtent l="0" t="0" r="9525" b="8255"/>
                        <wp:docPr id="4" name="Picture 4" descr="vimeo icon">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meo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275" cy="696595"/>
                                </a:xfrm>
                                <a:prstGeom prst="rect">
                                  <a:avLst/>
                                </a:prstGeom>
                                <a:noFill/>
                                <a:ln>
                                  <a:noFill/>
                                </a:ln>
                              </pic:spPr>
                            </pic:pic>
                          </a:graphicData>
                        </a:graphic>
                      </wp:inline>
                    </w:drawing>
                  </w:r>
                </w:p>
              </w:tc>
              <w:tc>
                <w:tcPr>
                  <w:tcW w:w="0" w:type="auto"/>
                  <w:vAlign w:val="center"/>
                  <w:hideMark/>
                </w:tcPr>
                <w:p w:rsidR="00A36710" w:rsidRPr="00A36710" w:rsidRDefault="00A36710">
                  <w:pPr>
                    <w:rPr>
                      <w:sz w:val="18"/>
                    </w:rPr>
                  </w:pPr>
                  <w:r w:rsidRPr="00A36710">
                    <w:rPr>
                      <w:noProof/>
                      <w:sz w:val="18"/>
                    </w:rPr>
                    <w:drawing>
                      <wp:inline distT="0" distB="0" distL="0" distR="0" wp14:anchorId="7A6CA24B" wp14:editId="349B0BD6">
                        <wp:extent cx="295275" cy="696595"/>
                        <wp:effectExtent l="0" t="0" r="9525" b="8255"/>
                        <wp:docPr id="3" name="Picture 3" descr="youtub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tube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5275" cy="696595"/>
                                </a:xfrm>
                                <a:prstGeom prst="rect">
                                  <a:avLst/>
                                </a:prstGeom>
                                <a:noFill/>
                                <a:ln>
                                  <a:noFill/>
                                </a:ln>
                              </pic:spPr>
                            </pic:pic>
                          </a:graphicData>
                        </a:graphic>
                      </wp:inline>
                    </w:drawing>
                  </w:r>
                </w:p>
              </w:tc>
              <w:tc>
                <w:tcPr>
                  <w:tcW w:w="0" w:type="auto"/>
                  <w:vAlign w:val="center"/>
                  <w:hideMark/>
                </w:tcPr>
                <w:p w:rsidR="00A36710" w:rsidRPr="00A36710" w:rsidRDefault="00A36710">
                  <w:pPr>
                    <w:rPr>
                      <w:sz w:val="18"/>
                    </w:rPr>
                  </w:pPr>
                  <w:r w:rsidRPr="00A36710">
                    <w:rPr>
                      <w:noProof/>
                      <w:sz w:val="18"/>
                    </w:rPr>
                    <w:drawing>
                      <wp:inline distT="0" distB="0" distL="0" distR="0" wp14:anchorId="3B21DC7F" wp14:editId="1D14C01E">
                        <wp:extent cx="499110" cy="696595"/>
                        <wp:effectExtent l="0" t="0" r="0" b="8255"/>
                        <wp:docPr id="2" name="Picture 2" descr="end of 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d of footer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9110" cy="696595"/>
                                </a:xfrm>
                                <a:prstGeom prst="rect">
                                  <a:avLst/>
                                </a:prstGeom>
                                <a:noFill/>
                                <a:ln>
                                  <a:noFill/>
                                </a:ln>
                              </pic:spPr>
                            </pic:pic>
                          </a:graphicData>
                        </a:graphic>
                      </wp:inline>
                    </w:drawing>
                  </w:r>
                </w:p>
              </w:tc>
            </w:tr>
          </w:tbl>
          <w:p w:rsidR="00A36710" w:rsidRPr="00A36710" w:rsidRDefault="00A36710" w:rsidP="00A36710">
            <w:pPr>
              <w:pStyle w:val="NormalWeb"/>
              <w:rPr>
                <w:sz w:val="18"/>
              </w:rPr>
            </w:pPr>
          </w:p>
          <w:tbl>
            <w:tblPr>
              <w:tblW w:w="5000" w:type="pct"/>
              <w:tblCellSpacing w:w="0" w:type="dxa"/>
              <w:tblCellMar>
                <w:left w:w="0" w:type="dxa"/>
                <w:right w:w="0" w:type="dxa"/>
              </w:tblCellMar>
              <w:tblLook w:val="04A0" w:firstRow="1" w:lastRow="0" w:firstColumn="1" w:lastColumn="0" w:noHBand="0" w:noVBand="1"/>
            </w:tblPr>
            <w:tblGrid>
              <w:gridCol w:w="9421"/>
              <w:gridCol w:w="1164"/>
            </w:tblGrid>
            <w:tr w:rsidR="00A36710" w:rsidRPr="00A36710" w:rsidTr="00A36710">
              <w:trPr>
                <w:tblCellSpacing w:w="0" w:type="dxa"/>
              </w:trPr>
              <w:tc>
                <w:tcPr>
                  <w:tcW w:w="4450" w:type="pct"/>
                  <w:vAlign w:val="center"/>
                </w:tcPr>
                <w:p w:rsidR="00A36710" w:rsidRPr="00A36710" w:rsidRDefault="00A36710">
                  <w:pPr>
                    <w:rPr>
                      <w:rFonts w:ascii="Arial" w:hAnsi="Arial" w:cs="Arial"/>
                      <w:color w:val="757575"/>
                      <w:sz w:val="18"/>
                      <w:szCs w:val="15"/>
                    </w:rPr>
                  </w:pPr>
                </w:p>
              </w:tc>
              <w:tc>
                <w:tcPr>
                  <w:tcW w:w="550" w:type="pct"/>
                  <w:vAlign w:val="center"/>
                </w:tcPr>
                <w:p w:rsidR="00A36710" w:rsidRPr="00A36710" w:rsidRDefault="00A36710">
                  <w:pPr>
                    <w:jc w:val="right"/>
                    <w:rPr>
                      <w:sz w:val="18"/>
                    </w:rPr>
                  </w:pPr>
                </w:p>
              </w:tc>
            </w:tr>
          </w:tbl>
          <w:p w:rsidR="00A36710" w:rsidRPr="00A36710" w:rsidRDefault="00A36710">
            <w:pPr>
              <w:rPr>
                <w:rFonts w:asciiTheme="minorHAnsi" w:hAnsiTheme="minorHAnsi"/>
                <w:sz w:val="18"/>
                <w:szCs w:val="22"/>
              </w:rPr>
            </w:pPr>
          </w:p>
        </w:tc>
      </w:tr>
    </w:tbl>
    <w:p w:rsidR="00E14A7F" w:rsidRDefault="00E14A7F">
      <w:bookmarkStart w:id="1" w:name="_GoBack"/>
      <w:bookmarkEnd w:id="1"/>
    </w:p>
    <w:sectPr w:rsidR="00E14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710"/>
    <w:rsid w:val="00A36710"/>
    <w:rsid w:val="00E1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710"/>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A36710"/>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unhideWhenUsed/>
    <w:qFormat/>
    <w:rsid w:val="00A36710"/>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unhideWhenUsed/>
    <w:qFormat/>
    <w:rsid w:val="00A3671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7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671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671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36710"/>
    <w:rPr>
      <w:color w:val="0000FF"/>
      <w:u w:val="single"/>
    </w:rPr>
  </w:style>
  <w:style w:type="paragraph" w:styleId="NormalWeb">
    <w:name w:val="Normal (Web)"/>
    <w:basedOn w:val="Normal"/>
    <w:uiPriority w:val="99"/>
    <w:unhideWhenUsed/>
    <w:rsid w:val="00A36710"/>
    <w:pPr>
      <w:spacing w:before="100" w:beforeAutospacing="1" w:after="100" w:afterAutospacing="1"/>
    </w:pPr>
  </w:style>
  <w:style w:type="paragraph" w:customStyle="1" w:styleId="m-2261003678408586105gdp">
    <w:name w:val="m_-2261003678408586105gd_p"/>
    <w:basedOn w:val="Normal"/>
    <w:uiPriority w:val="99"/>
    <w:semiHidden/>
    <w:rsid w:val="00A36710"/>
    <w:pPr>
      <w:spacing w:before="100" w:beforeAutospacing="1" w:after="100" w:afterAutospacing="1"/>
    </w:pPr>
  </w:style>
  <w:style w:type="paragraph" w:styleId="BalloonText">
    <w:name w:val="Balloon Text"/>
    <w:basedOn w:val="Normal"/>
    <w:link w:val="BalloonTextChar"/>
    <w:uiPriority w:val="99"/>
    <w:semiHidden/>
    <w:unhideWhenUsed/>
    <w:rsid w:val="00A36710"/>
    <w:rPr>
      <w:rFonts w:ascii="Tahoma" w:hAnsi="Tahoma" w:cs="Tahoma"/>
      <w:sz w:val="16"/>
      <w:szCs w:val="16"/>
    </w:rPr>
  </w:style>
  <w:style w:type="character" w:customStyle="1" w:styleId="BalloonTextChar">
    <w:name w:val="Balloon Text Char"/>
    <w:basedOn w:val="DefaultParagraphFont"/>
    <w:link w:val="BalloonText"/>
    <w:uiPriority w:val="99"/>
    <w:semiHidden/>
    <w:rsid w:val="00A367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710"/>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A36710"/>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unhideWhenUsed/>
    <w:qFormat/>
    <w:rsid w:val="00A36710"/>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unhideWhenUsed/>
    <w:qFormat/>
    <w:rsid w:val="00A3671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7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671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671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36710"/>
    <w:rPr>
      <w:color w:val="0000FF"/>
      <w:u w:val="single"/>
    </w:rPr>
  </w:style>
  <w:style w:type="paragraph" w:styleId="NormalWeb">
    <w:name w:val="Normal (Web)"/>
    <w:basedOn w:val="Normal"/>
    <w:uiPriority w:val="99"/>
    <w:unhideWhenUsed/>
    <w:rsid w:val="00A36710"/>
    <w:pPr>
      <w:spacing w:before="100" w:beforeAutospacing="1" w:after="100" w:afterAutospacing="1"/>
    </w:pPr>
  </w:style>
  <w:style w:type="paragraph" w:customStyle="1" w:styleId="m-2261003678408586105gdp">
    <w:name w:val="m_-2261003678408586105gd_p"/>
    <w:basedOn w:val="Normal"/>
    <w:uiPriority w:val="99"/>
    <w:semiHidden/>
    <w:rsid w:val="00A36710"/>
    <w:pPr>
      <w:spacing w:before="100" w:beforeAutospacing="1" w:after="100" w:afterAutospacing="1"/>
    </w:pPr>
  </w:style>
  <w:style w:type="paragraph" w:styleId="BalloonText">
    <w:name w:val="Balloon Text"/>
    <w:basedOn w:val="Normal"/>
    <w:link w:val="BalloonTextChar"/>
    <w:uiPriority w:val="99"/>
    <w:semiHidden/>
    <w:unhideWhenUsed/>
    <w:rsid w:val="00A36710"/>
    <w:rPr>
      <w:rFonts w:ascii="Tahoma" w:hAnsi="Tahoma" w:cs="Tahoma"/>
      <w:sz w:val="16"/>
      <w:szCs w:val="16"/>
    </w:rPr>
  </w:style>
  <w:style w:type="character" w:customStyle="1" w:styleId="BalloonTextChar">
    <w:name w:val="Balloon Text Char"/>
    <w:basedOn w:val="DefaultParagraphFont"/>
    <w:link w:val="BalloonText"/>
    <w:uiPriority w:val="99"/>
    <w:semiHidden/>
    <w:rsid w:val="00A367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13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n.jasmer@sde.ok.gov" TargetMode="Externa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mailto:deana.silk@sde.ok.gov" TargetMode="External"/><Relationship Id="rId12" Type="http://schemas.openxmlformats.org/officeDocument/2006/relationships/hyperlink" Target="http://links.govdelivery.com/track?type=click&amp;enid=ZWFzPTEmbXNpZD0mYXVpZD0mbWFpbGluZ2lkPTIwMTcwMTExLjY4NjIzMTAxJm1lc3NhZ2VpZD1NREItUFJELUJVTC0yMDE3MDExMS42ODYyMzEwMSZkYXRhYmFzZWlkPTEwMDEmc2VyaWFsPTE2OTkwMTgwJmVtYWlsaWQ9Z2dpbHN0cmFwQHN0aWx3ZWxsazEyLm9yZyZ1c2VyaWQ9Z2dpbHN0cmFwQHN0aWx3ZWxsazEyLm9yZyZ0YXJnZXRpZD0mZmw9Jm12aWQ9JmV4dHJhPSYmJg==&amp;&amp;&amp;102&amp;&amp;&amp;https://public.govdelivery.com/accounts/OKSDE/subscriber/new" TargetMode="External"/><Relationship Id="rId17"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hyperlink" Target="http://links.govdelivery.com/track?type=click&amp;enid=ZWFzPTEmbXNpZD0mYXVpZD0mbWFpbGluZ2lkPTIwMTcwMTExLjY4NjIzMTAxJm1lc3NhZ2VpZD1NREItUFJELUJVTC0yMDE3MDExMS42ODYyMzEwMSZkYXRhYmFzZWlkPTEwMDEmc2VyaWFsPTE2OTkwMTgwJmVtYWlsaWQ9Z2dpbHN0cmFwQHN0aWx3ZWxsazEyLm9yZyZ1c2VyaWQ9Z2dpbHN0cmFwQHN0aWx3ZWxsazEyLm9yZyZ0YXJnZXRpZD0mZmw9Jm12aWQ9JmV4dHJhPSYmJg==&amp;&amp;&amp;104&amp;&amp;&amp;https://www.facebook.com/OklaSDE" TargetMode="External"/><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mailto:steffie.corcoran@sde.ok.gov" TargetMode="Externa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links.govdelivery.com/track?type=click&amp;enid=ZWFzPTEmbXNpZD0mYXVpZD0mbWFpbGluZ2lkPTIwMTcwMTExLjY4NjIzMTAxJm1lc3NhZ2VpZD1NREItUFJELUJVTC0yMDE3MDExMS42ODYyMzEwMSZkYXRhYmFzZWlkPTEwMDEmc2VyaWFsPTE2OTkwMTgwJmVtYWlsaWQ9Z2dpbHN0cmFwQHN0aWx3ZWxsazEyLm9yZyZ1c2VyaWQ9Z2dpbHN0cmFwQHN0aWx3ZWxsazEyLm9yZyZ0YXJnZXRpZD0mZmw9Jm12aWQ9JmV4dHJhPSYmJg==&amp;&amp;&amp;105&amp;&amp;&amp;http://vimeo.com/oksde" TargetMode="External"/><Relationship Id="rId4" Type="http://schemas.openxmlformats.org/officeDocument/2006/relationships/webSettings" Target="webSettings.xml"/><Relationship Id="rId9" Type="http://schemas.openxmlformats.org/officeDocument/2006/relationships/hyperlink" Target="http://links.govdelivery.com/track?type=click&amp;enid=ZWFzPTEmbXNpZD0mYXVpZD0mbWFpbGluZ2lkPTIwMTcwMTExLjY4NjIzMTAxJm1lc3NhZ2VpZD1NREItUFJELUJVTC0yMDE3MDExMS42ODYyMzEwMSZkYXRhYmFzZWlkPTEwMDEmc2VyaWFsPTE2OTkwMTgwJmVtYWlsaWQ9Z2dpbHN0cmFwQHN0aWx3ZWxsazEyLm9yZyZ1c2VyaWQ9Z2dpbHN0cmFwQHN0aWx3ZWxsazEyLm9yZyZ0YXJnZXRpZD0mZmw9Jm12aWQ9JmV4dHJhPSYmJg==&amp;&amp;&amp;101&amp;&amp;&amp;http://sde.state.ok.us/" TargetMode="External"/><Relationship Id="rId14" Type="http://schemas.openxmlformats.org/officeDocument/2006/relationships/hyperlink" Target="http://links.govdelivery.com/track?type=click&amp;enid=ZWFzPTEmbXNpZD0mYXVpZD0mbWFpbGluZ2lkPTIwMTcwMTExLjY4NjIzMTAxJm1lc3NhZ2VpZD1NREItUFJELUJVTC0yMDE3MDExMS42ODYyMzEwMSZkYXRhYmFzZWlkPTEwMDEmc2VyaWFsPTE2OTkwMTgwJmVtYWlsaWQ9Z2dpbHN0cmFwQHN0aWx3ZWxsazEyLm9yZyZ1c2VyaWQ9Z2dpbHN0cmFwQHN0aWx3ZWxsazEyLm9yZyZ0YXJnZXRpZD0mZmw9Jm12aWQ9JmV4dHJhPSYmJg==&amp;&amp;&amp;103&amp;&amp;&amp;http://twitter.com/oksde"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Koss</dc:creator>
  <cp:lastModifiedBy>Cynthia Koss</cp:lastModifiedBy>
  <cp:revision>1</cp:revision>
  <dcterms:created xsi:type="dcterms:W3CDTF">2017-01-26T13:59:00Z</dcterms:created>
  <dcterms:modified xsi:type="dcterms:W3CDTF">2017-01-26T14:01:00Z</dcterms:modified>
</cp:coreProperties>
</file>