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24526" w14:textId="1F87EF32" w:rsidR="00457431" w:rsidRDefault="00BD071F" w:rsidP="0088775B">
      <w:pPr>
        <w:pStyle w:val="Title"/>
      </w:pPr>
      <w:r w:rsidRPr="00FF1A86">
        <w:t xml:space="preserve">Return to Learn: </w:t>
      </w:r>
      <w:r w:rsidR="00457431">
        <w:t>TLE and the Professional Learning (PL) Focus Guidance 2020-2021</w:t>
      </w:r>
    </w:p>
    <w:p w14:paraId="5BD15E0B" w14:textId="01FBC428" w:rsidR="00E14971" w:rsidRDefault="00457431" w:rsidP="004E5CCD">
      <w:r>
        <w:t>This document is designed to support Oklahoma educators and TLE evaluators through the TLE evaluation process during the 2020-2021 school year.</w:t>
      </w:r>
      <w:r w:rsidR="00550259">
        <w:t xml:space="preserve"> The guidance has been developed based on conversations with educators</w:t>
      </w:r>
      <w:r w:rsidR="00DB560B">
        <w:t xml:space="preserve"> as well as local and national partners.</w:t>
      </w:r>
    </w:p>
    <w:p w14:paraId="0B24CF4B" w14:textId="57F2D39E" w:rsidR="00E14971" w:rsidRDefault="00E14971" w:rsidP="00355396">
      <w:pPr>
        <w:pStyle w:val="Heading1"/>
      </w:pPr>
      <w:r>
        <w:t>Approved TLE Evaluation Models for Oklahoma</w:t>
      </w:r>
    </w:p>
    <w:p w14:paraId="5EEC399A" w14:textId="5A6FB374" w:rsidR="00E14971" w:rsidRDefault="00E14971" w:rsidP="00E14971">
      <w:r>
        <w:t>Districts select</w:t>
      </w:r>
      <w:r w:rsidR="00DB560B">
        <w:t xml:space="preserve">, from a pre-approved list provided by the Oklahoma State Department of Education (OSDE), </w:t>
      </w:r>
      <w:r>
        <w:t xml:space="preserve">the evaluation model which best meets the </w:t>
      </w:r>
      <w:r w:rsidR="00C85C5D">
        <w:t>needs of their stakeholders</w:t>
      </w:r>
      <w:r w:rsidR="00DB560B">
        <w:t>. The model selected must be utilized throughout the district.</w:t>
      </w:r>
      <w:r w:rsidR="00016D5B">
        <w:t xml:space="preserve">                                                                                                                                                                                                                                                            </w:t>
      </w:r>
      <w:r w:rsidR="00316A50">
        <w:t xml:space="preserve"> </w:t>
      </w:r>
    </w:p>
    <w:p w14:paraId="12548AB3" w14:textId="2B7FB311" w:rsidR="00316A50" w:rsidRDefault="00316A50" w:rsidP="00E14971">
      <w:r>
        <w:t>The pre-approved frameworks/models are:</w:t>
      </w:r>
    </w:p>
    <w:p w14:paraId="1E2EFFC5" w14:textId="4904352D" w:rsidR="00316A50" w:rsidRDefault="00316A50" w:rsidP="00316A50">
      <w:pPr>
        <w:pStyle w:val="ListParagraph"/>
        <w:numPr>
          <w:ilvl w:val="0"/>
          <w:numId w:val="4"/>
        </w:numPr>
      </w:pPr>
      <w:r>
        <w:t>Danielson Framework</w:t>
      </w:r>
    </w:p>
    <w:p w14:paraId="6FC20950" w14:textId="7645968F" w:rsidR="00316A50" w:rsidRDefault="00316A50" w:rsidP="00316A50">
      <w:pPr>
        <w:pStyle w:val="ListParagraph"/>
        <w:numPr>
          <w:ilvl w:val="0"/>
          <w:numId w:val="4"/>
        </w:numPr>
      </w:pPr>
      <w:r>
        <w:t xml:space="preserve">Marzano </w:t>
      </w:r>
      <w:r w:rsidR="00467AE7">
        <w:t xml:space="preserve">(Focused) </w:t>
      </w:r>
      <w:r>
        <w:t>Framework</w:t>
      </w:r>
    </w:p>
    <w:p w14:paraId="11A6877B" w14:textId="3A1C30AD" w:rsidR="00316A50" w:rsidRDefault="00316A50" w:rsidP="00316A50">
      <w:pPr>
        <w:pStyle w:val="ListParagraph"/>
        <w:numPr>
          <w:ilvl w:val="0"/>
          <w:numId w:val="4"/>
        </w:numPr>
      </w:pPr>
      <w:r>
        <w:t xml:space="preserve">Marzano </w:t>
      </w:r>
      <w:r w:rsidR="00467AE7">
        <w:t xml:space="preserve">(Focused) </w:t>
      </w:r>
      <w:r>
        <w:t>Leader Framework</w:t>
      </w:r>
    </w:p>
    <w:p w14:paraId="6A2754BC" w14:textId="01A9F396" w:rsidR="00316A50" w:rsidRDefault="00316A50" w:rsidP="00316A50">
      <w:pPr>
        <w:pStyle w:val="ListParagraph"/>
        <w:numPr>
          <w:ilvl w:val="0"/>
          <w:numId w:val="4"/>
        </w:numPr>
      </w:pPr>
      <w:proofErr w:type="spellStart"/>
      <w:r>
        <w:t>McREL</w:t>
      </w:r>
      <w:proofErr w:type="spellEnd"/>
      <w:r>
        <w:t xml:space="preserve"> Leader Framework</w:t>
      </w:r>
    </w:p>
    <w:p w14:paraId="6FF27138" w14:textId="67183BAE" w:rsidR="00316A50" w:rsidRDefault="00316A50" w:rsidP="00316A50">
      <w:pPr>
        <w:pStyle w:val="ListParagraph"/>
        <w:numPr>
          <w:ilvl w:val="0"/>
          <w:numId w:val="4"/>
        </w:numPr>
      </w:pPr>
      <w:r>
        <w:t>NIET Framework</w:t>
      </w:r>
    </w:p>
    <w:p w14:paraId="2F048C6D" w14:textId="03E9D8F2" w:rsidR="000C4F4A" w:rsidRDefault="00316A50" w:rsidP="000C4F4A">
      <w:pPr>
        <w:pStyle w:val="ListParagraph"/>
        <w:numPr>
          <w:ilvl w:val="0"/>
          <w:numId w:val="4"/>
        </w:numPr>
      </w:pPr>
      <w:r>
        <w:t>Tulsa Model</w:t>
      </w:r>
    </w:p>
    <w:p w14:paraId="24B9A17D" w14:textId="2D18828D" w:rsidR="00355396" w:rsidRDefault="00DB560B" w:rsidP="000C4F4A">
      <w:r>
        <w:t>For the 2020-2021 school year, s</w:t>
      </w:r>
      <w:r w:rsidR="000C4F4A">
        <w:t xml:space="preserve">chool districts in Oklahoma have chosen to evaluate using the Marzano evaluation suite, the </w:t>
      </w:r>
      <w:proofErr w:type="spellStart"/>
      <w:r w:rsidR="000C4F4A">
        <w:t>McR</w:t>
      </w:r>
      <w:r w:rsidR="006668AE">
        <w:t>EL</w:t>
      </w:r>
      <w:proofErr w:type="spellEnd"/>
      <w:r w:rsidR="000C4F4A">
        <w:t xml:space="preserve"> Leader framework and the Tulsa Model suite. The Danielson framework and the NIET framework </w:t>
      </w:r>
      <w:r>
        <w:t>were not selected for use this year.</w:t>
      </w:r>
    </w:p>
    <w:p w14:paraId="3DC58243" w14:textId="5C909BC4" w:rsidR="00CC6B49" w:rsidRDefault="00B8148E" w:rsidP="00CC6B49">
      <w:bookmarkStart w:id="0" w:name="_Hlk51761702"/>
      <w:r>
        <w:t xml:space="preserve">The Marzano and Tulsa Model suite of </w:t>
      </w:r>
      <w:r w:rsidR="005409F7">
        <w:t xml:space="preserve">evaluation </w:t>
      </w:r>
      <w:r>
        <w:t xml:space="preserve">rubrics were developed to </w:t>
      </w:r>
      <w:r w:rsidR="00CF439C">
        <w:t>support educators</w:t>
      </w:r>
      <w:r>
        <w:t xml:space="preserve"> in becoming more effective in their craft by providing </w:t>
      </w:r>
      <w:r w:rsidR="00DC4A0A">
        <w:t>a common language for instructional practices</w:t>
      </w:r>
      <w:r w:rsidR="00C85C5D">
        <w:t xml:space="preserve"> and </w:t>
      </w:r>
      <w:r>
        <w:t xml:space="preserve">support through classroom observations followed by objective, actionable feedback </w:t>
      </w:r>
      <w:r w:rsidR="00DB560B">
        <w:t xml:space="preserve">from the evaluator. </w:t>
      </w:r>
    </w:p>
    <w:p w14:paraId="09450886" w14:textId="77777777" w:rsidR="00FC7A68" w:rsidRDefault="00FC7A68" w:rsidP="00CC6B49"/>
    <w:p w14:paraId="05340A57" w14:textId="6727A605" w:rsidR="00FC7A68" w:rsidRDefault="00FC7A68" w:rsidP="00CC6B49">
      <w:r>
        <w:lastRenderedPageBreak/>
        <w:t xml:space="preserve">As in previous years, the observation pre-conference shall be utilized by the evaluator and the educator to discuss the evaluation rubric and ask questions concerning observation expectations. The conversation this year may include questions specific to observing a classroom in a virtual setting, such as how to upload artifacts for the evaluator to view outside of the observation or </w:t>
      </w:r>
      <w:r w:rsidR="00156FDC">
        <w:t>how differentiation of a lesson may be observed in an online platform.</w:t>
      </w:r>
    </w:p>
    <w:p w14:paraId="0BB227F0" w14:textId="524D9403" w:rsidR="005B1F66" w:rsidRDefault="00DC4A0A" w:rsidP="00CC6B49">
      <w:r>
        <w:t>The indicator</w:t>
      </w:r>
      <w:r w:rsidR="00CF439C">
        <w:t>s/</w:t>
      </w:r>
      <w:r>
        <w:t xml:space="preserve">elements within the evaluation frameworks can be observed in-person and virtually. </w:t>
      </w:r>
      <w:r w:rsidR="006D1CF0">
        <w:t>As in previous years, indicators/elements not viewed during a classroom observation can be supported by uploading materials used in class for the evaluator to view. For instance, assignments modified to m</w:t>
      </w:r>
      <w:r w:rsidR="009D7F6F">
        <w:t>e</w:t>
      </w:r>
      <w:r w:rsidR="006D1CF0">
        <w:t>et IEP</w:t>
      </w:r>
      <w:r w:rsidR="009D7F6F">
        <w:t>s</w:t>
      </w:r>
      <w:r w:rsidR="006D1CF0">
        <w:t xml:space="preserve"> or EL plans may not be observable in a virtual setting, so the educator has the opportunity to upload the modified assignment to be viewed by the evaluator prior to the completion of observation/evaluation documentation. </w:t>
      </w:r>
    </w:p>
    <w:p w14:paraId="00C331C6" w14:textId="6A67B18E" w:rsidR="004E5CCD" w:rsidRDefault="005B1F66" w:rsidP="004E5CCD">
      <w:r>
        <w:t xml:space="preserve">Districts holding in-person classes should conduct in-person observations, evaluations and feedback conferences. If the classes are held virtually, the observations, evaluations and feedback conferences should be held in the same format. Walk-throughs should be conducted throughout the school year whether in-person or virtually. Evaluators will need access to virtual classrooms to conduct observations and walk-throughs. </w:t>
      </w:r>
    </w:p>
    <w:p w14:paraId="07290209" w14:textId="1E2E9B26" w:rsidR="004E5CCD" w:rsidRDefault="004E5CCD" w:rsidP="004E5CCD">
      <w:pPr>
        <w:pStyle w:val="Heading1"/>
      </w:pPr>
      <w:r>
        <w:t>The Professional Learning (PL) Focus</w:t>
      </w:r>
    </w:p>
    <w:p w14:paraId="7D02D612" w14:textId="207E7DD5" w:rsidR="004E5CCD" w:rsidRDefault="00000808" w:rsidP="004E5CCD">
      <w:r>
        <w:t xml:space="preserve">The Professional Learning (PL) Focus provides all certified educators in the district, with the exception of the district superintendent, the </w:t>
      </w:r>
      <w:r w:rsidR="00DD49B7">
        <w:t>opportunity to set their professional growth goal for the school year.</w:t>
      </w:r>
    </w:p>
    <w:p w14:paraId="2FAE2933" w14:textId="261A5888" w:rsidR="00DD49B7" w:rsidRDefault="00DD49B7" w:rsidP="004E5CCD">
      <w:r>
        <w:t xml:space="preserve">The PL Focus selected </w:t>
      </w:r>
      <w:r w:rsidR="000F57D6">
        <w:t>shall:</w:t>
      </w:r>
    </w:p>
    <w:p w14:paraId="0FF4583B" w14:textId="367E4B45" w:rsidR="000F57D6" w:rsidRDefault="000F57D6" w:rsidP="000F57D6">
      <w:pPr>
        <w:pStyle w:val="ListParagraph"/>
        <w:numPr>
          <w:ilvl w:val="0"/>
          <w:numId w:val="2"/>
        </w:numPr>
      </w:pPr>
      <w:r>
        <w:t>be established in collaboration with the individual’s evaluator.</w:t>
      </w:r>
    </w:p>
    <w:p w14:paraId="0C5C1C8B" w14:textId="71835FCB" w:rsidR="000F57D6" w:rsidRDefault="000F57D6" w:rsidP="000F57D6">
      <w:pPr>
        <w:pStyle w:val="ListParagraph"/>
        <w:numPr>
          <w:ilvl w:val="0"/>
          <w:numId w:val="2"/>
        </w:numPr>
      </w:pPr>
      <w:r>
        <w:t>Be correlated to one of the indicators/elements of the individual’s evaluation rubric.</w:t>
      </w:r>
    </w:p>
    <w:p w14:paraId="5BE11A93" w14:textId="3AC8365D" w:rsidR="000F57D6" w:rsidRDefault="000F57D6" w:rsidP="000F57D6">
      <w:pPr>
        <w:pStyle w:val="ListParagraph"/>
        <w:numPr>
          <w:ilvl w:val="0"/>
          <w:numId w:val="2"/>
        </w:numPr>
      </w:pPr>
      <w:r>
        <w:t>be based on evidence-based, researched practices that are correlated with increased student achievement.</w:t>
      </w:r>
    </w:p>
    <w:p w14:paraId="2DDA7078" w14:textId="35486E63" w:rsidR="000F57D6" w:rsidRDefault="000F57D6" w:rsidP="000F57D6">
      <w:pPr>
        <w:pStyle w:val="ListParagraph"/>
        <w:numPr>
          <w:ilvl w:val="0"/>
          <w:numId w:val="2"/>
        </w:numPr>
      </w:pPr>
      <w:r>
        <w:t>Be supported by resources from the local</w:t>
      </w:r>
      <w:r w:rsidR="009D7F6F">
        <w:t>,</w:t>
      </w:r>
      <w:r>
        <w:t xml:space="preserve"> district and the Oklahoma State Department of Education.</w:t>
      </w:r>
    </w:p>
    <w:p w14:paraId="7E00F410" w14:textId="11B1E41B" w:rsidR="00FE2118" w:rsidRDefault="008F67B7" w:rsidP="000F57D6">
      <w:r>
        <w:t xml:space="preserve">The PL Focus </w:t>
      </w:r>
      <w:r w:rsidR="001929B0">
        <w:t>shall</w:t>
      </w:r>
      <w:r>
        <w:t xml:space="preserve"> be established by the end of the district’s first nine weeks of school. A PL Focus is </w:t>
      </w:r>
      <w:r w:rsidR="00AB7C74">
        <w:t xml:space="preserve">deemed </w:t>
      </w:r>
      <w:r>
        <w:t xml:space="preserve">established once the evaluator and the person being evaluated have met, either in-person or virtually, to discuss the PL Focus topic selected, verified </w:t>
      </w:r>
      <w:r>
        <w:lastRenderedPageBreak/>
        <w:t xml:space="preserve">that the topic meets the above criteria and agreed on the resources to be used for the professional learning and signed the PL Focus document. </w:t>
      </w:r>
    </w:p>
    <w:p w14:paraId="68AFC18F" w14:textId="3B323F44" w:rsidR="00FE2118" w:rsidRDefault="00FE2118" w:rsidP="000F57D6">
      <w:r>
        <w:t xml:space="preserve">When completing the PL Focus documentation, the evaluation rubric indicator/element which is used to evaluate the educator’s participation in professional development should not be chosen as the PL Focus. Instead, select the indicator/element that best describes the focus of the learning growth. For example, an educator who would like to increase his/her knowledge of technology strategies that can be used in the classroom in alignment with the standards would select </w:t>
      </w:r>
      <w:r w:rsidRPr="00FE2118">
        <w:rPr>
          <w:i/>
          <w:iCs/>
        </w:rPr>
        <w:t>Indicator 10 Teacher Teaches the Objectives through a Variety of Methods</w:t>
      </w:r>
      <w:r>
        <w:t xml:space="preserve"> for the Tulsa Teacher model or </w:t>
      </w:r>
      <w:r w:rsidRPr="00FE2118">
        <w:rPr>
          <w:i/>
          <w:iCs/>
        </w:rPr>
        <w:t>Element 2 Aligning Resources to Standards</w:t>
      </w:r>
      <w:r>
        <w:t xml:space="preserve"> for the Marzano Focused Teacher model.</w:t>
      </w:r>
    </w:p>
    <w:p w14:paraId="325D2A73" w14:textId="70888F76" w:rsidR="00FE2118" w:rsidRDefault="008F67B7" w:rsidP="00FE2118">
      <w:r>
        <w:t>TLE exemption status does not apply to the PL Focus. All certified personnel, with the exception of the district superintendent, complete a PL Focus annually regardless of exemption status on the qualitative component of the TLE.</w:t>
      </w:r>
      <w:bookmarkEnd w:id="0"/>
    </w:p>
    <w:p w14:paraId="10122FF2" w14:textId="672C87A8" w:rsidR="004E5CCD" w:rsidRDefault="004E5CCD" w:rsidP="004E5CCD">
      <w:pPr>
        <w:pStyle w:val="Heading1"/>
      </w:pPr>
      <w:r>
        <w:t>Observation</w:t>
      </w:r>
      <w:r w:rsidR="005B1F66">
        <w:t>s</w:t>
      </w:r>
      <w:r>
        <w:t xml:space="preserve"> and Evaluation</w:t>
      </w:r>
      <w:r w:rsidR="005B1F66">
        <w:t>s Based on Educator Status</w:t>
      </w:r>
      <w:r>
        <w:t xml:space="preserve"> </w:t>
      </w:r>
    </w:p>
    <w:p w14:paraId="0A93B6E0" w14:textId="79010C12" w:rsidR="00000808" w:rsidRDefault="00000808" w:rsidP="00000808">
      <w:r>
        <w:t>Career-status educators should be observed twice a year. One observation with actionable feedback should occur in the fall, and one observation with actionable feedback should occur in the spring. The final evaluation with actionable feedback should occur in the spring.</w:t>
      </w:r>
    </w:p>
    <w:p w14:paraId="1692636D" w14:textId="643ADFD7" w:rsidR="00316A50" w:rsidRDefault="00000808" w:rsidP="004E5CCD">
      <w:r>
        <w:t>Probationary educators should be observed once during the first nine weeks, once during the second nine weeks and again in the third nine weeks. All observations should be followed by a feedback conference. The final evaluation with actionable feedback should be held in the fourth nine weeks.</w:t>
      </w:r>
    </w:p>
    <w:p w14:paraId="4538C2C2" w14:textId="020A93E8" w:rsidR="00355396" w:rsidRDefault="00355396" w:rsidP="00316A50">
      <w:pPr>
        <w:pStyle w:val="Heading1"/>
      </w:pPr>
      <w:r>
        <w:t>Observation and Evaluation Timelines</w:t>
      </w:r>
    </w:p>
    <w:p w14:paraId="6AD8E473" w14:textId="4775E905" w:rsidR="00355396" w:rsidRDefault="00355396" w:rsidP="00355396">
      <w:r>
        <w:t>Observations should not be conducted on the first day</w:t>
      </w:r>
      <w:r w:rsidR="00AB7C74">
        <w:t xml:space="preserve"> of school</w:t>
      </w:r>
      <w:r>
        <w:t xml:space="preserve"> </w:t>
      </w:r>
      <w:r w:rsidR="00AB7C74">
        <w:t xml:space="preserve">following </w:t>
      </w:r>
      <w:r>
        <w:t xml:space="preserve">a break in the school calendar (i.e. the day students return to classes </w:t>
      </w:r>
      <w:r w:rsidR="00AB7C74">
        <w:t xml:space="preserve">after </w:t>
      </w:r>
      <w:r>
        <w:t>fall break).</w:t>
      </w:r>
      <w:r w:rsidR="00FE2118">
        <w:t xml:space="preserve"> </w:t>
      </w:r>
      <w:r w:rsidR="00680CE8">
        <w:t>Also, o</w:t>
      </w:r>
      <w:r w:rsidR="00FE2118">
        <w:t xml:space="preserve">bservations should not be conducted on the first day following a transition from in-person to virtual classes or vice versa. </w:t>
      </w:r>
    </w:p>
    <w:p w14:paraId="498C496D" w14:textId="31D47F25" w:rsidR="008717D7" w:rsidRDefault="008717D7" w:rsidP="00355396">
      <w:r>
        <w:t>Each classroom observation</w:t>
      </w:r>
      <w:r w:rsidR="00680CE8">
        <w:t xml:space="preserve">, whether in-person or virtual, </w:t>
      </w:r>
      <w:r>
        <w:t xml:space="preserve">should be a minimum of 20 minutes in length. </w:t>
      </w:r>
    </w:p>
    <w:p w14:paraId="1558748B" w14:textId="0A844216" w:rsidR="00355396" w:rsidRDefault="00355396" w:rsidP="00355396">
      <w:r>
        <w:t xml:space="preserve">The observation post-conference </w:t>
      </w:r>
      <w:r w:rsidR="00680CE8">
        <w:t>shall</w:t>
      </w:r>
      <w:r>
        <w:t xml:space="preserve"> be conducted within five instructional days of the classroom observation.</w:t>
      </w:r>
      <w:r w:rsidR="008717D7">
        <w:t xml:space="preserve"> This allows timely, actionable feedback to be provided during the observation conversation.</w:t>
      </w:r>
      <w:r w:rsidR="00AB7C74">
        <w:t xml:space="preserve"> The observation conference may be conducted in-person or virtually </w:t>
      </w:r>
      <w:r w:rsidR="00680CE8">
        <w:t>to match</w:t>
      </w:r>
      <w:r w:rsidR="00AB7C74">
        <w:t xml:space="preserve"> the structure of the school day at the time of the conference</w:t>
      </w:r>
      <w:r w:rsidR="00680CE8">
        <w:t xml:space="preserve">. </w:t>
      </w:r>
      <w:r w:rsidR="00AB7C74">
        <w:t xml:space="preserve">Post-conferences shall not be conducted through email. </w:t>
      </w:r>
    </w:p>
    <w:p w14:paraId="7EEA4E84" w14:textId="31721C3F" w:rsidR="00355396" w:rsidRDefault="008717D7" w:rsidP="008717D7">
      <w:r>
        <w:lastRenderedPageBreak/>
        <w:t xml:space="preserve">There </w:t>
      </w:r>
      <w:r w:rsidR="00AB7C74">
        <w:t>shall</w:t>
      </w:r>
      <w:r>
        <w:t xml:space="preserve"> be at least ten instructional days between an observation conference and the next classroom observation. This provides time for the educator to make the adjustments to instruction recommended in the observation conference. </w:t>
      </w:r>
    </w:p>
    <w:p w14:paraId="000670EC" w14:textId="31FE2BFD" w:rsidR="00316A50" w:rsidRDefault="00316A50" w:rsidP="00316A50">
      <w:pPr>
        <w:pStyle w:val="Heading1"/>
      </w:pPr>
      <w:r>
        <w:t xml:space="preserve">Attaining Career Status </w:t>
      </w:r>
    </w:p>
    <w:p w14:paraId="1226C21D" w14:textId="77777777" w:rsidR="00316A50" w:rsidRPr="00522562" w:rsidRDefault="00316A50" w:rsidP="00316A50">
      <w:pPr>
        <w:pStyle w:val="NormalWeb"/>
        <w:shd w:val="clear" w:color="auto" w:fill="FFFFFF"/>
        <w:spacing w:before="0" w:beforeAutospacing="0" w:after="0" w:afterAutospacing="0" w:line="312" w:lineRule="atLeast"/>
        <w:rPr>
          <w:rFonts w:asciiTheme="minorHAnsi" w:hAnsiTheme="minorHAnsi" w:cstheme="minorHAnsi"/>
          <w:color w:val="333333"/>
        </w:rPr>
      </w:pPr>
      <w:r w:rsidRPr="00522562">
        <w:rPr>
          <w:rFonts w:asciiTheme="minorHAnsi" w:hAnsiTheme="minorHAnsi" w:cstheme="minorHAnsi"/>
          <w:color w:val="333333"/>
        </w:rPr>
        <w:t>Although TLE data collection and reporting were waived in March 2020, the school year is to be included as one of the four years of probationary status for educators. In order for an educator to attain career status, regulations set in HB2957 (2016) must be met. In accordance with HB2957 (2016), a career teacher who was employed for the first time in one school district under a written continuing or temporary teaching contract beginning in 2017-2018 or thereafter:</w:t>
      </w:r>
    </w:p>
    <w:p w14:paraId="73F184BC" w14:textId="77777777" w:rsidR="00316A50" w:rsidRPr="00522562" w:rsidRDefault="00316A50" w:rsidP="00316A50">
      <w:pPr>
        <w:pStyle w:val="NormalWeb"/>
        <w:shd w:val="clear" w:color="auto" w:fill="FFFFFF"/>
        <w:spacing w:before="0" w:beforeAutospacing="0" w:after="0" w:afterAutospacing="0" w:line="312" w:lineRule="atLeast"/>
        <w:rPr>
          <w:rFonts w:asciiTheme="minorHAnsi" w:hAnsiTheme="minorHAnsi" w:cstheme="minorHAnsi"/>
          <w:color w:val="333333"/>
        </w:rPr>
      </w:pPr>
      <w:r w:rsidRPr="00522562">
        <w:rPr>
          <w:rFonts w:asciiTheme="minorHAnsi" w:hAnsiTheme="minorHAnsi" w:cstheme="minorHAnsi"/>
          <w:color w:val="333333"/>
        </w:rPr>
        <w:t> </w:t>
      </w:r>
    </w:p>
    <w:p w14:paraId="137E229E" w14:textId="77777777" w:rsidR="00316A50" w:rsidRPr="00522562" w:rsidRDefault="00316A50" w:rsidP="00316A50">
      <w:pPr>
        <w:pStyle w:val="NormalWeb"/>
        <w:shd w:val="clear" w:color="auto" w:fill="FFFFFF"/>
        <w:spacing w:before="0" w:beforeAutospacing="0" w:after="0" w:afterAutospacing="0" w:line="312" w:lineRule="atLeast"/>
        <w:rPr>
          <w:rFonts w:asciiTheme="minorHAnsi" w:hAnsiTheme="minorHAnsi" w:cstheme="minorHAnsi"/>
          <w:color w:val="333333"/>
        </w:rPr>
      </w:pPr>
      <w:r w:rsidRPr="00522562">
        <w:rPr>
          <w:rFonts w:asciiTheme="minorHAnsi" w:hAnsiTheme="minorHAnsi" w:cstheme="minorHAnsi"/>
          <w:color w:val="333333"/>
        </w:rPr>
        <w:t>a.) has completed three or more consecutive complete school years in one district as a teacher under a written continuing or temporary contract and has achieved a district evaluation score of </w:t>
      </w:r>
      <w:r w:rsidRPr="00522562">
        <w:rPr>
          <w:rStyle w:val="Emphasis"/>
          <w:rFonts w:asciiTheme="minorHAnsi" w:hAnsiTheme="minorHAnsi" w:cstheme="minorHAnsi"/>
          <w:color w:val="333333"/>
        </w:rPr>
        <w:t xml:space="preserve">superior </w:t>
      </w:r>
      <w:r w:rsidRPr="00522562">
        <w:rPr>
          <w:rStyle w:val="Emphasis"/>
          <w:rFonts w:asciiTheme="minorHAnsi" w:hAnsiTheme="minorHAnsi" w:cstheme="minorHAnsi"/>
          <w:i w:val="0"/>
          <w:iCs w:val="0"/>
          <w:color w:val="333333"/>
        </w:rPr>
        <w:t>(4.8 or higher)</w:t>
      </w:r>
      <w:r w:rsidRPr="00522562">
        <w:rPr>
          <w:rFonts w:asciiTheme="minorHAnsi" w:hAnsiTheme="minorHAnsi" w:cstheme="minorHAnsi"/>
          <w:color w:val="333333"/>
        </w:rPr>
        <w:t> for two of the three school years, or</w:t>
      </w:r>
    </w:p>
    <w:p w14:paraId="6902D4A6" w14:textId="77777777" w:rsidR="00316A50" w:rsidRPr="00522562" w:rsidRDefault="00316A50" w:rsidP="00316A50">
      <w:pPr>
        <w:pStyle w:val="NormalWeb"/>
        <w:shd w:val="clear" w:color="auto" w:fill="FFFFFF"/>
        <w:spacing w:before="0" w:beforeAutospacing="0" w:after="0" w:afterAutospacing="0" w:line="312" w:lineRule="atLeast"/>
        <w:rPr>
          <w:rFonts w:asciiTheme="minorHAnsi" w:hAnsiTheme="minorHAnsi" w:cstheme="minorHAnsi"/>
          <w:color w:val="333333"/>
        </w:rPr>
      </w:pPr>
      <w:r w:rsidRPr="00522562">
        <w:rPr>
          <w:rFonts w:asciiTheme="minorHAnsi" w:hAnsiTheme="minorHAnsi" w:cstheme="minorHAnsi"/>
          <w:color w:val="333333"/>
        </w:rPr>
        <w:t> </w:t>
      </w:r>
    </w:p>
    <w:p w14:paraId="2CA4C88F" w14:textId="77777777" w:rsidR="00316A50" w:rsidRPr="00522562" w:rsidRDefault="00316A50" w:rsidP="00316A50">
      <w:pPr>
        <w:pStyle w:val="NormalWeb"/>
        <w:shd w:val="clear" w:color="auto" w:fill="FFFFFF"/>
        <w:spacing w:before="0" w:beforeAutospacing="0" w:after="0" w:afterAutospacing="0" w:line="312" w:lineRule="atLeast"/>
        <w:rPr>
          <w:rFonts w:asciiTheme="minorHAnsi" w:hAnsiTheme="minorHAnsi" w:cstheme="minorHAnsi"/>
          <w:color w:val="333333"/>
        </w:rPr>
      </w:pPr>
      <w:r w:rsidRPr="00522562">
        <w:rPr>
          <w:rFonts w:asciiTheme="minorHAnsi" w:hAnsiTheme="minorHAnsi" w:cstheme="minorHAnsi"/>
          <w:color w:val="333333"/>
        </w:rPr>
        <w:t xml:space="preserve">b.) has completed four consecutive complete school years as a teacher in one district under a written continuing or temporary teaching contract and has averaged a district evaluation score of at least </w:t>
      </w:r>
      <w:r w:rsidRPr="00522562">
        <w:rPr>
          <w:rFonts w:asciiTheme="minorHAnsi" w:hAnsiTheme="minorHAnsi" w:cstheme="minorHAnsi"/>
          <w:i/>
          <w:iCs/>
          <w:color w:val="333333"/>
        </w:rPr>
        <w:t>effective</w:t>
      </w:r>
      <w:r w:rsidRPr="00522562">
        <w:rPr>
          <w:rFonts w:asciiTheme="minorHAnsi" w:hAnsiTheme="minorHAnsi" w:cstheme="minorHAnsi"/>
          <w:color w:val="333333"/>
        </w:rPr>
        <w:t xml:space="preserve"> (2.8 or higher) for the four-year period and achieved at least an </w:t>
      </w:r>
      <w:r w:rsidRPr="00522562">
        <w:rPr>
          <w:rStyle w:val="Emphasis"/>
          <w:rFonts w:asciiTheme="minorHAnsi" w:hAnsiTheme="minorHAnsi" w:cstheme="minorHAnsi"/>
          <w:color w:val="333333"/>
        </w:rPr>
        <w:t>effective </w:t>
      </w:r>
      <w:r w:rsidRPr="00522562">
        <w:rPr>
          <w:rFonts w:asciiTheme="minorHAnsi" w:hAnsiTheme="minorHAnsi" w:cstheme="minorHAnsi"/>
          <w:color w:val="333333"/>
        </w:rPr>
        <w:t>district evaluation score on the TLE for the last two years of the four-year period, or</w:t>
      </w:r>
    </w:p>
    <w:p w14:paraId="48AEF123" w14:textId="77777777" w:rsidR="00316A50" w:rsidRPr="00522562" w:rsidRDefault="00316A50" w:rsidP="00316A50">
      <w:pPr>
        <w:pStyle w:val="NormalWeb"/>
        <w:shd w:val="clear" w:color="auto" w:fill="FFFFFF"/>
        <w:spacing w:before="0" w:beforeAutospacing="0" w:after="0" w:afterAutospacing="0" w:line="312" w:lineRule="atLeast"/>
        <w:rPr>
          <w:rFonts w:asciiTheme="minorHAnsi" w:hAnsiTheme="minorHAnsi" w:cstheme="minorHAnsi"/>
          <w:color w:val="333333"/>
        </w:rPr>
      </w:pPr>
      <w:r w:rsidRPr="00522562">
        <w:rPr>
          <w:rFonts w:asciiTheme="minorHAnsi" w:hAnsiTheme="minorHAnsi" w:cstheme="minorHAnsi"/>
          <w:color w:val="333333"/>
        </w:rPr>
        <w:t> </w:t>
      </w:r>
    </w:p>
    <w:p w14:paraId="7A65A7B9" w14:textId="034276EC" w:rsidR="00316A50" w:rsidRDefault="00316A50" w:rsidP="00335692">
      <w:pPr>
        <w:pStyle w:val="rteindent4"/>
        <w:shd w:val="clear" w:color="auto" w:fill="FFFFFF"/>
        <w:spacing w:before="0" w:beforeAutospacing="0" w:after="0" w:afterAutospacing="0" w:line="276" w:lineRule="auto"/>
        <w:rPr>
          <w:rFonts w:asciiTheme="minorHAnsi" w:hAnsiTheme="minorHAnsi" w:cstheme="minorHAnsi"/>
          <w:color w:val="333333"/>
        </w:rPr>
      </w:pPr>
      <w:r w:rsidRPr="00522562">
        <w:rPr>
          <w:rFonts w:asciiTheme="minorHAnsi" w:hAnsiTheme="minorHAnsi" w:cstheme="minorHAnsi"/>
          <w:color w:val="333333"/>
        </w:rPr>
        <w:t>c.) has completed four or more consecutive complete school years in one district and has not met the requirements above,</w:t>
      </w:r>
      <w:r w:rsidRPr="00522562">
        <w:rPr>
          <w:rStyle w:val="Strong"/>
          <w:rFonts w:asciiTheme="minorHAnsi" w:hAnsiTheme="minorHAnsi" w:cstheme="minorHAnsi"/>
          <w:color w:val="333333"/>
        </w:rPr>
        <w:t> only</w:t>
      </w:r>
      <w:r w:rsidRPr="00522562">
        <w:rPr>
          <w:rFonts w:asciiTheme="minorHAnsi" w:hAnsiTheme="minorHAnsi" w:cstheme="minorHAnsi"/>
          <w:color w:val="333333"/>
        </w:rPr>
        <w:t> if the principal of the school of which the teacher is employed submits a petition to the district superintendent requesting that the teacher be granted career status, the superintendent agrees with the petition and the local board of education approves the petition. The petition shall specify the facts supporting the granting of career status to the educator. These documents should be retained as part of the educator's personnel file.</w:t>
      </w:r>
    </w:p>
    <w:p w14:paraId="27D8FE46" w14:textId="77777777" w:rsidR="00335692" w:rsidRPr="00522562" w:rsidRDefault="00335692" w:rsidP="00335692">
      <w:pPr>
        <w:pStyle w:val="rteindent4"/>
        <w:shd w:val="clear" w:color="auto" w:fill="FFFFFF"/>
        <w:spacing w:before="0" w:beforeAutospacing="0" w:after="0" w:afterAutospacing="0" w:line="276" w:lineRule="auto"/>
        <w:rPr>
          <w:rFonts w:asciiTheme="minorHAnsi" w:hAnsiTheme="minorHAnsi" w:cstheme="minorHAnsi"/>
          <w:color w:val="333333"/>
        </w:rPr>
      </w:pPr>
    </w:p>
    <w:p w14:paraId="187FB077" w14:textId="174042F2" w:rsidR="00E81298" w:rsidRPr="00522562" w:rsidRDefault="00316A50" w:rsidP="00335692">
      <w:r w:rsidRPr="00522562">
        <w:t xml:space="preserve">Many educators hired in 2017-2018 will move into their fourth year of probationary status in the fall of 2020-2021. </w:t>
      </w:r>
      <w:r w:rsidR="00AB7C74">
        <w:t>F</w:t>
      </w:r>
      <w:r w:rsidRPr="00522562">
        <w:t xml:space="preserve">or these educators to attain career status </w:t>
      </w:r>
      <w:r w:rsidR="00AB7C74">
        <w:t>beginning in</w:t>
      </w:r>
      <w:r w:rsidRPr="00522562">
        <w:t xml:space="preserve"> the 2021-2022 school year, a petition will be required from their building principal attesting to the fact that if the evaluation process had not ceased during the spring of 2020, </w:t>
      </w:r>
      <w:r w:rsidR="00335692">
        <w:t>each</w:t>
      </w:r>
      <w:r w:rsidRPr="00522562">
        <w:t xml:space="preserve"> educator was on track to receive an </w:t>
      </w:r>
      <w:r w:rsidRPr="00522562">
        <w:rPr>
          <w:i/>
          <w:iCs/>
        </w:rPr>
        <w:t>effective</w:t>
      </w:r>
      <w:r w:rsidRPr="00522562">
        <w:t xml:space="preserve"> or higher score on the district evaluation. This attestation should be based on observation and walk-through data collected from August 2019-March 2020. This documentation </w:t>
      </w:r>
      <w:r w:rsidR="00AB7C74">
        <w:t>may</w:t>
      </w:r>
      <w:r w:rsidRPr="00522562">
        <w:t xml:space="preserve"> be collected during the 2020-2021 school year, but sh</w:t>
      </w:r>
      <w:r w:rsidR="00AB7C74">
        <w:t>all</w:t>
      </w:r>
      <w:r w:rsidRPr="00522562">
        <w:t xml:space="preserve"> not be submitted to the district superintendent or school board for consideration until the </w:t>
      </w:r>
      <w:r w:rsidR="00AB7C74">
        <w:t xml:space="preserve">educator achieves an </w:t>
      </w:r>
      <w:r w:rsidR="00AB7C74" w:rsidRPr="00AB7C74">
        <w:rPr>
          <w:i/>
          <w:iCs/>
        </w:rPr>
        <w:t>effective</w:t>
      </w:r>
      <w:r w:rsidR="00AB7C74">
        <w:t xml:space="preserve"> (2.8) or higher district</w:t>
      </w:r>
      <w:r w:rsidRPr="00522562">
        <w:t xml:space="preserve"> evaluation </w:t>
      </w:r>
      <w:r w:rsidR="00AB7C74">
        <w:t xml:space="preserve">score </w:t>
      </w:r>
      <w:r w:rsidRPr="00522562">
        <w:t xml:space="preserve">for the 2020-2021 school year. </w:t>
      </w:r>
    </w:p>
    <w:p w14:paraId="76418A14" w14:textId="19837482" w:rsidR="00E81298" w:rsidRDefault="00E81298" w:rsidP="004E5CCD">
      <w:pPr>
        <w:pStyle w:val="Heading1"/>
      </w:pPr>
      <w:r>
        <w:lastRenderedPageBreak/>
        <w:t>Exemption from the Qualitative Component</w:t>
      </w:r>
    </w:p>
    <w:p w14:paraId="6319510D" w14:textId="0A3F10D7" w:rsidR="00E81298" w:rsidRDefault="00E81298" w:rsidP="00E81298">
      <w:r>
        <w:t xml:space="preserve">Career educators who are evaluated and score a </w:t>
      </w:r>
      <w:r w:rsidRPr="00E81298">
        <w:rPr>
          <w:i/>
          <w:iCs/>
        </w:rPr>
        <w:t>highly effective</w:t>
      </w:r>
      <w:r>
        <w:t xml:space="preserve"> (3.8) or higher on the district evaluation may qualify for exemption on the qualitative component of the TLE for up to two years.</w:t>
      </w:r>
    </w:p>
    <w:p w14:paraId="1360E577" w14:textId="5A9A843B" w:rsidR="00392566" w:rsidRDefault="00392566" w:rsidP="00E81298">
      <w:r>
        <w:t xml:space="preserve">Although TLE data collection was waived beginning in March of 2020, the 2019-2020 school year is considered a full year for exemption purposes. For clarification, if a career educator qualified for exemption at the end of the </w:t>
      </w:r>
      <w:r w:rsidR="00344D7B">
        <w:t>2018-</w:t>
      </w:r>
      <w:r>
        <w:t>2019 school year, the educator would be exempt from the qualitative portion of the TLE for 2019-2020 (year 1 of exemption) and 2020-2021 (year 2 of exemption). The educator would complete the evaluation cycle again in the 2021-2022 school year.</w:t>
      </w:r>
    </w:p>
    <w:p w14:paraId="16D29F7F" w14:textId="293D88CE" w:rsidR="00335692" w:rsidRDefault="00392566" w:rsidP="009D1A03">
      <w:r>
        <w:t>Exemption applies only to the qualitative portion of the TLE. It does not apply to the Professional Learning Focus. The PL Focus shall be completed annually by all certified educators in the district</w:t>
      </w:r>
      <w:r w:rsidR="000C4F4A">
        <w:t>,</w:t>
      </w:r>
      <w:r>
        <w:t xml:space="preserve"> with the exception of the district superintendent who is not evaluated under a TLE evaluation model.</w:t>
      </w:r>
    </w:p>
    <w:p w14:paraId="03078C82" w14:textId="4B5B187A" w:rsidR="004E5CCD" w:rsidRDefault="007E6DBF" w:rsidP="004E5CCD">
      <w:pPr>
        <w:pStyle w:val="Heading1"/>
      </w:pPr>
      <w:r>
        <w:t>Evaluator Certification</w:t>
      </w:r>
    </w:p>
    <w:p w14:paraId="75B2DFC1" w14:textId="7E5C5264" w:rsidR="00E15FDF" w:rsidRDefault="00E15FDF" w:rsidP="00E15FDF">
      <w:r>
        <w:t xml:space="preserve">In order to conduct TLE observations and evaluations, an individual </w:t>
      </w:r>
      <w:r w:rsidR="006A6B64">
        <w:t xml:space="preserve">shall </w:t>
      </w:r>
      <w:r>
        <w:t>complete the rubric</w:t>
      </w:r>
      <w:r w:rsidR="00AB7C74">
        <w:t xml:space="preserve"> </w:t>
      </w:r>
      <w:r>
        <w:t xml:space="preserve">evaluation training </w:t>
      </w:r>
      <w:r w:rsidR="00AB7C74">
        <w:t xml:space="preserve">specified by the school district </w:t>
      </w:r>
      <w:r>
        <w:t xml:space="preserve">and </w:t>
      </w:r>
      <w:r w:rsidR="00BF499B">
        <w:t>prove</w:t>
      </w:r>
      <w:r>
        <w:t xml:space="preserve"> mastery of the concepts through assessment(s). The individual will receive an evaluation certificate upon meeting the evaluator requirements. A copy of the evaluation certificate sh</w:t>
      </w:r>
      <w:r w:rsidR="00BF499B">
        <w:t>ould</w:t>
      </w:r>
      <w:r>
        <w:t xml:space="preserve"> be shared with the district as it will need to be available for review during the Regional Accreditation visit/audit. </w:t>
      </w:r>
    </w:p>
    <w:p w14:paraId="61260AFD" w14:textId="5832DDEE" w:rsidR="00137FAE" w:rsidRDefault="006A6B64" w:rsidP="00E15FDF">
      <w:r>
        <w:t>Local School Boards of Education</w:t>
      </w:r>
      <w:r w:rsidR="00137FAE">
        <w:t xml:space="preserve"> have the opportunity to designate individuals other than building-level administrators to conduct TLE evaluations. The designees must hold a rubric-specific TLE evaluation certificate prior to conducting classroom observations.</w:t>
      </w:r>
    </w:p>
    <w:p w14:paraId="1E2C9691" w14:textId="4083F272" w:rsidR="00E15FDF" w:rsidRDefault="00E15FDF" w:rsidP="00E15FDF">
      <w:r>
        <w:t>Evaluator certification is valid for two years</w:t>
      </w:r>
      <w:r w:rsidR="00BF499B">
        <w:t xml:space="preserve">. </w:t>
      </w:r>
      <w:r>
        <w:t xml:space="preserve">TLE observations and evaluations </w:t>
      </w:r>
      <w:r w:rsidR="00DF0892">
        <w:t xml:space="preserve">must be </w:t>
      </w:r>
      <w:r>
        <w:t>conducted by a</w:t>
      </w:r>
      <w:r w:rsidR="00D33C3C">
        <w:t xml:space="preserve">n evaluator holding </w:t>
      </w:r>
      <w:r w:rsidR="00DF0892">
        <w:t>a valid</w:t>
      </w:r>
      <w:r w:rsidR="00D33C3C">
        <w:t xml:space="preserve"> TLE evaluation certificate</w:t>
      </w:r>
      <w:r w:rsidR="006369E7">
        <w:t xml:space="preserve">. </w:t>
      </w:r>
      <w:hyperlink r:id="rId8" w:history="1">
        <w:r w:rsidR="006369E7" w:rsidRPr="006369E7">
          <w:rPr>
            <w:rStyle w:val="Hyperlink"/>
          </w:rPr>
          <w:t>TLE evaluator initial certification and recertification trainings</w:t>
        </w:r>
      </w:hyperlink>
      <w:r w:rsidR="006369E7">
        <w:t xml:space="preserve"> occur primarily in the summer, but there are sessions available later in the year for those moving into an evaluat</w:t>
      </w:r>
      <w:r w:rsidR="00467AE7">
        <w:t xml:space="preserve">ive </w:t>
      </w:r>
      <w:r w:rsidR="006369E7">
        <w:t xml:space="preserve">role later in the school year. </w:t>
      </w:r>
    </w:p>
    <w:p w14:paraId="6DB14F94" w14:textId="301C5606" w:rsidR="00316A50" w:rsidRDefault="00316A50" w:rsidP="00316A50">
      <w:pPr>
        <w:pStyle w:val="Heading1"/>
      </w:pPr>
      <w:r>
        <w:t>TLE Qualitative Report</w:t>
      </w:r>
    </w:p>
    <w:p w14:paraId="45795368" w14:textId="6C00542D" w:rsidR="00522562" w:rsidRDefault="00316A50" w:rsidP="000863B8">
      <w:r>
        <w:t xml:space="preserve">The TLE Qualitative Report collects qualitative </w:t>
      </w:r>
      <w:r w:rsidR="006A6B64">
        <w:t xml:space="preserve">evaluation </w:t>
      </w:r>
      <w:r>
        <w:t>and PL Focus data annually. The reporting window for the 2020-2021 school year will be open from May 3-June 18, 2021</w:t>
      </w:r>
      <w:r w:rsidR="000863B8">
        <w:t>.</w:t>
      </w:r>
    </w:p>
    <w:p w14:paraId="1A299384" w14:textId="5A8199FE" w:rsidR="007E6DBF" w:rsidRDefault="00522562" w:rsidP="007E6DBF">
      <w:pPr>
        <w:pStyle w:val="Heading1"/>
      </w:pPr>
      <w:r>
        <w:lastRenderedPageBreak/>
        <w:t>Contact</w:t>
      </w:r>
    </w:p>
    <w:p w14:paraId="769C376D" w14:textId="7822B7A4" w:rsidR="00457431" w:rsidRPr="00457431" w:rsidRDefault="00522562" w:rsidP="004604BB">
      <w:r>
        <w:t xml:space="preserve">Please direct questions concerning TLE and the Professional Learning Focus to Jaycie Smith, Executive Director of Teacher and Leadership Development, at </w:t>
      </w:r>
      <w:hyperlink r:id="rId9" w:history="1">
        <w:r w:rsidR="00D503D9" w:rsidRPr="00861C8D">
          <w:rPr>
            <w:rStyle w:val="Hyperlink"/>
          </w:rPr>
          <w:t>jaycie.smith@sde.ok.gov</w:t>
        </w:r>
      </w:hyperlink>
      <w:r>
        <w:t>.</w:t>
      </w:r>
    </w:p>
    <w:sectPr w:rsidR="00457431" w:rsidRPr="00457431" w:rsidSect="00436497">
      <w:headerReference w:type="default" r:id="rId10"/>
      <w:footerReference w:type="even" r:id="rId11"/>
      <w:footerReference w:type="default" r:id="rId12"/>
      <w:headerReference w:type="first" r:id="rId13"/>
      <w:footerReference w:type="first" r:id="rId14"/>
      <w:pgSz w:w="12240" w:h="15840"/>
      <w:pgMar w:top="1728"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1EBCD" w14:textId="77777777" w:rsidR="00C05CA7" w:rsidRDefault="00C05CA7" w:rsidP="00062576">
      <w:pPr>
        <w:spacing w:before="0" w:after="0"/>
      </w:pPr>
      <w:r>
        <w:separator/>
      </w:r>
    </w:p>
  </w:endnote>
  <w:endnote w:type="continuationSeparator" w:id="0">
    <w:p w14:paraId="55C8526C" w14:textId="77777777" w:rsidR="00C05CA7" w:rsidRDefault="00C05CA7" w:rsidP="000625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2605274"/>
      <w:docPartObj>
        <w:docPartGallery w:val="Page Numbers (Bottom of Page)"/>
        <w:docPartUnique/>
      </w:docPartObj>
    </w:sdtPr>
    <w:sdtEndPr>
      <w:rPr>
        <w:rStyle w:val="PageNumber"/>
      </w:rPr>
    </w:sdtEndPr>
    <w:sdtContent>
      <w:p w14:paraId="05233D9B" w14:textId="77777777" w:rsidR="00FF1A86" w:rsidRDefault="00FF1A86" w:rsidP="008F2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5522900"/>
      <w:docPartObj>
        <w:docPartGallery w:val="Page Numbers (Bottom of Page)"/>
        <w:docPartUnique/>
      </w:docPartObj>
    </w:sdtPr>
    <w:sdtEndPr>
      <w:rPr>
        <w:rStyle w:val="PageNumber"/>
      </w:rPr>
    </w:sdtEndPr>
    <w:sdtContent>
      <w:p w14:paraId="33FF1A62" w14:textId="77777777" w:rsidR="00FF1A86" w:rsidRDefault="00FF1A86" w:rsidP="00FF1A86">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27472993"/>
      <w:docPartObj>
        <w:docPartGallery w:val="Page Numbers (Bottom of Page)"/>
        <w:docPartUnique/>
      </w:docPartObj>
    </w:sdtPr>
    <w:sdtEndPr>
      <w:rPr>
        <w:rStyle w:val="PageNumber"/>
      </w:rPr>
    </w:sdtEndPr>
    <w:sdtContent>
      <w:p w14:paraId="5CA3E87B" w14:textId="77777777" w:rsidR="00FF1A86" w:rsidRDefault="00FF1A86" w:rsidP="00FF1A86">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AB072" w14:textId="77777777" w:rsidR="00FF1A86" w:rsidRDefault="00FF1A86" w:rsidP="00FF1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5890693"/>
      <w:docPartObj>
        <w:docPartGallery w:val="Page Numbers (Bottom of Page)"/>
        <w:docPartUnique/>
      </w:docPartObj>
    </w:sdtPr>
    <w:sdtEndPr>
      <w:rPr>
        <w:rStyle w:val="PageNumber"/>
      </w:rPr>
    </w:sdtEndPr>
    <w:sdtContent>
      <w:p w14:paraId="09892983" w14:textId="77777777" w:rsidR="00FF1A86" w:rsidRDefault="00FF1A86" w:rsidP="008F2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0A34AB" w14:textId="77777777" w:rsidR="00CD535A" w:rsidRPr="00FF1A86" w:rsidRDefault="00CD535A" w:rsidP="00FF1A86">
    <w:pPr>
      <w:pStyle w:val="Footer"/>
      <w:rPr>
        <w:rStyle w:val="Strong"/>
        <w:b/>
        <w:bCs w:val="0"/>
      </w:rPr>
    </w:pPr>
    <w:r w:rsidRPr="00FF1A86">
      <w:t>Oklahoma State Department of Education</w:t>
    </w:r>
  </w:p>
  <w:p w14:paraId="18937929" w14:textId="7FCCBF8D" w:rsidR="00CD535A" w:rsidRPr="00FF1A86" w:rsidRDefault="00FF1A86" w:rsidP="00FF1A86">
    <w:pPr>
      <w:pStyle w:val="Footer"/>
    </w:pPr>
    <w:r w:rsidRPr="00FF1A86">
      <w:rPr>
        <w:rStyle w:val="Strong"/>
        <w:b/>
        <w:bCs w:val="0"/>
      </w:rPr>
      <w:t xml:space="preserve">Return to Learn: </w:t>
    </w:r>
    <w:r w:rsidR="00457431">
      <w:rPr>
        <w:rStyle w:val="Strong"/>
        <w:b/>
        <w:bCs w:val="0"/>
      </w:rPr>
      <w:t>TLE and the PL Focus Guidance 2020-2021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1C1A1" w14:textId="77777777" w:rsidR="00CD535A" w:rsidRPr="00BD071F" w:rsidRDefault="00CD535A" w:rsidP="00FF1A86">
    <w:pPr>
      <w:pStyle w:val="Footer"/>
      <w:rPr>
        <w:rStyle w:val="Strong"/>
        <w:b/>
        <w:bCs w:val="0"/>
      </w:rPr>
    </w:pPr>
    <w:r w:rsidRPr="00BD071F">
      <w:rPr>
        <w:rStyle w:val="Strong"/>
        <w:b/>
        <w:bCs w:val="0"/>
      </w:rPr>
      <w:t>Oklahoma State Department of Education</w:t>
    </w:r>
  </w:p>
  <w:p w14:paraId="3CCDFB74" w14:textId="77777777" w:rsidR="00BD071F" w:rsidRPr="00BD071F" w:rsidRDefault="00BD071F" w:rsidP="00FF1A86">
    <w:pPr>
      <w:pStyle w:val="Footer"/>
      <w:rPr>
        <w:rStyle w:val="Strong"/>
        <w:b/>
        <w:bCs w:val="0"/>
      </w:rPr>
    </w:pPr>
    <w:r w:rsidRPr="00BD071F">
      <w:rPr>
        <w:rStyle w:val="Strong"/>
        <w:b/>
        <w:bCs w:val="0"/>
      </w:rPr>
      <w:t>Return to Learn: The TLE 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FF493" w14:textId="77777777" w:rsidR="00C05CA7" w:rsidRDefault="00C05CA7" w:rsidP="00062576">
      <w:pPr>
        <w:spacing w:before="0" w:after="0"/>
      </w:pPr>
      <w:r>
        <w:separator/>
      </w:r>
    </w:p>
  </w:footnote>
  <w:footnote w:type="continuationSeparator" w:id="0">
    <w:p w14:paraId="1E493C67" w14:textId="77777777" w:rsidR="00C05CA7" w:rsidRDefault="00C05CA7" w:rsidP="0006257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2CAC" w14:textId="77777777" w:rsidR="00062576" w:rsidRPr="00062576" w:rsidRDefault="00062576" w:rsidP="00FF1A86">
    <w:pPr>
      <w:pStyle w:val="Title"/>
    </w:pPr>
    <w:r w:rsidRPr="00BD071F">
      <w:rPr>
        <w:noProof/>
      </w:rPr>
      <w:drawing>
        <wp:anchor distT="0" distB="0" distL="114300" distR="114300" simplePos="0" relativeHeight="251658240" behindDoc="1" locked="0" layoutInCell="1" allowOverlap="1" wp14:anchorId="67C4C4CF" wp14:editId="02BF3103">
          <wp:simplePos x="0" y="0"/>
          <wp:positionH relativeFrom="margin">
            <wp:posOffset>-914400</wp:posOffset>
          </wp:positionH>
          <wp:positionV relativeFrom="paragraph">
            <wp:posOffset>-561975</wp:posOffset>
          </wp:positionV>
          <wp:extent cx="7773035" cy="1524000"/>
          <wp:effectExtent l="0" t="0" r="0" b="0"/>
          <wp:wrapNone/>
          <wp:docPr id="17" name="Picture 17" descr="Oklahoma 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Oklahoma State Department of Education Logo"/>
                  <pic:cNvPicPr/>
                </pic:nvPicPr>
                <pic:blipFill rotWithShape="1">
                  <a:blip r:embed="rId1">
                    <a:extLst>
                      <a:ext uri="{28A0092B-C50C-407E-A947-70E740481C1C}">
                        <a14:useLocalDpi xmlns:a14="http://schemas.microsoft.com/office/drawing/2010/main" val="0"/>
                      </a:ext>
                    </a:extLst>
                  </a:blip>
                  <a:srcRect t="-62943" b="-3738"/>
                  <a:stretch/>
                </pic:blipFill>
                <pic:spPr bwMode="auto">
                  <a:xfrm>
                    <a:off x="0" y="0"/>
                    <a:ext cx="7773646" cy="1524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FD713" w14:textId="77777777" w:rsidR="00CD535A" w:rsidRDefault="00CD535A" w:rsidP="00FF1A86">
    <w:pPr>
      <w:pStyle w:val="Title"/>
    </w:pPr>
    <w:r w:rsidRPr="00CD535A">
      <w:rPr>
        <w:noProof/>
      </w:rPr>
      <w:drawing>
        <wp:anchor distT="0" distB="0" distL="114300" distR="114300" simplePos="0" relativeHeight="251660288" behindDoc="1" locked="0" layoutInCell="1" allowOverlap="1" wp14:anchorId="7BC80492" wp14:editId="436455FE">
          <wp:simplePos x="0" y="0"/>
          <wp:positionH relativeFrom="margin">
            <wp:posOffset>-913765</wp:posOffset>
          </wp:positionH>
          <wp:positionV relativeFrom="paragraph">
            <wp:posOffset>-193040</wp:posOffset>
          </wp:positionV>
          <wp:extent cx="7773646" cy="914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3646"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101D"/>
    <w:multiLevelType w:val="hybridMultilevel"/>
    <w:tmpl w:val="D770A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A8374D"/>
    <w:multiLevelType w:val="hybridMultilevel"/>
    <w:tmpl w:val="6AC8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25DA9"/>
    <w:multiLevelType w:val="hybridMultilevel"/>
    <w:tmpl w:val="44B41624"/>
    <w:lvl w:ilvl="0" w:tplc="DC5429B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C63FB"/>
    <w:multiLevelType w:val="hybridMultilevel"/>
    <w:tmpl w:val="DA0C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76"/>
    <w:rsid w:val="00000808"/>
    <w:rsid w:val="00016D5B"/>
    <w:rsid w:val="00062576"/>
    <w:rsid w:val="000863B8"/>
    <w:rsid w:val="0009163E"/>
    <w:rsid w:val="000C4F4A"/>
    <w:rsid w:val="000F57D6"/>
    <w:rsid w:val="00100566"/>
    <w:rsid w:val="00137FAE"/>
    <w:rsid w:val="00141F2E"/>
    <w:rsid w:val="00156FDC"/>
    <w:rsid w:val="001929B0"/>
    <w:rsid w:val="002263AA"/>
    <w:rsid w:val="00316A50"/>
    <w:rsid w:val="003221A5"/>
    <w:rsid w:val="00335692"/>
    <w:rsid w:val="00344D7B"/>
    <w:rsid w:val="00355396"/>
    <w:rsid w:val="00392566"/>
    <w:rsid w:val="003C6EC4"/>
    <w:rsid w:val="00436497"/>
    <w:rsid w:val="00457431"/>
    <w:rsid w:val="004604BB"/>
    <w:rsid w:val="00467AE7"/>
    <w:rsid w:val="004E5CCD"/>
    <w:rsid w:val="00522562"/>
    <w:rsid w:val="005409F7"/>
    <w:rsid w:val="00550259"/>
    <w:rsid w:val="00594039"/>
    <w:rsid w:val="005B1F66"/>
    <w:rsid w:val="005D2EF2"/>
    <w:rsid w:val="00625250"/>
    <w:rsid w:val="006369E7"/>
    <w:rsid w:val="006668AE"/>
    <w:rsid w:val="00680CE8"/>
    <w:rsid w:val="00693169"/>
    <w:rsid w:val="006A6B64"/>
    <w:rsid w:val="006D1CF0"/>
    <w:rsid w:val="00731FDF"/>
    <w:rsid w:val="0075332F"/>
    <w:rsid w:val="00783BA4"/>
    <w:rsid w:val="007E6DBF"/>
    <w:rsid w:val="007F5F3F"/>
    <w:rsid w:val="00811FA3"/>
    <w:rsid w:val="008717D7"/>
    <w:rsid w:val="0088775B"/>
    <w:rsid w:val="008F67B7"/>
    <w:rsid w:val="009D1A03"/>
    <w:rsid w:val="009D7F6F"/>
    <w:rsid w:val="009E7041"/>
    <w:rsid w:val="009F3BB8"/>
    <w:rsid w:val="00A171C9"/>
    <w:rsid w:val="00AB7C74"/>
    <w:rsid w:val="00B8148E"/>
    <w:rsid w:val="00B94082"/>
    <w:rsid w:val="00BD071F"/>
    <w:rsid w:val="00BF499B"/>
    <w:rsid w:val="00C05CA7"/>
    <w:rsid w:val="00C85C5D"/>
    <w:rsid w:val="00CC6B49"/>
    <w:rsid w:val="00CD535A"/>
    <w:rsid w:val="00CF439C"/>
    <w:rsid w:val="00D33C3C"/>
    <w:rsid w:val="00D503D9"/>
    <w:rsid w:val="00DB560B"/>
    <w:rsid w:val="00DC4A0A"/>
    <w:rsid w:val="00DD49B7"/>
    <w:rsid w:val="00DF0892"/>
    <w:rsid w:val="00E14971"/>
    <w:rsid w:val="00E15FDF"/>
    <w:rsid w:val="00E81298"/>
    <w:rsid w:val="00F20953"/>
    <w:rsid w:val="00F310C0"/>
    <w:rsid w:val="00FC7A68"/>
    <w:rsid w:val="00FD6BDC"/>
    <w:rsid w:val="00FE2118"/>
    <w:rsid w:val="00FF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EDBC1"/>
  <w15:chartTrackingRefBased/>
  <w15:docId w15:val="{5F3B5109-1AFD-254F-AFB0-FBFF5021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1F"/>
    <w:pPr>
      <w:spacing w:before="240" w:after="240"/>
    </w:pPr>
  </w:style>
  <w:style w:type="paragraph" w:styleId="Heading1">
    <w:name w:val="heading 1"/>
    <w:basedOn w:val="Normal"/>
    <w:next w:val="Normal"/>
    <w:link w:val="Heading1Char"/>
    <w:uiPriority w:val="9"/>
    <w:qFormat/>
    <w:rsid w:val="00BD071F"/>
    <w:pPr>
      <w:keepNext/>
      <w:keepLines/>
      <w:spacing w:before="360" w:after="120"/>
      <w:outlineLvl w:val="0"/>
    </w:pPr>
    <w:rPr>
      <w:rFonts w:asciiTheme="majorHAnsi" w:eastAsiaTheme="majorEastAsia" w:hAnsiTheme="majorHAnsi" w:cstheme="majorBidi"/>
      <w:b/>
      <w:color w:val="2670AA"/>
      <w:sz w:val="32"/>
      <w:szCs w:val="32"/>
    </w:rPr>
  </w:style>
  <w:style w:type="paragraph" w:styleId="Heading2">
    <w:name w:val="heading 2"/>
    <w:basedOn w:val="Normal"/>
    <w:next w:val="Normal"/>
    <w:link w:val="Heading2Char"/>
    <w:uiPriority w:val="9"/>
    <w:unhideWhenUsed/>
    <w:qFormat/>
    <w:rsid w:val="00FF1A86"/>
    <w:pPr>
      <w:keepNext/>
      <w:keepLines/>
      <w:spacing w:before="40" w:after="0"/>
      <w:outlineLvl w:val="1"/>
    </w:pPr>
    <w:rPr>
      <w:rFonts w:asciiTheme="majorHAnsi" w:eastAsiaTheme="majorEastAsia" w:hAnsiTheme="majorHAnsi" w:cstheme="majorBidi"/>
      <w:b/>
      <w:color w:val="393A39"/>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71F"/>
    <w:pPr>
      <w:numPr>
        <w:numId w:val="1"/>
      </w:numPr>
      <w:suppressAutoHyphens/>
      <w:spacing w:line="276" w:lineRule="auto"/>
    </w:pPr>
  </w:style>
  <w:style w:type="paragraph" w:styleId="Header">
    <w:name w:val="header"/>
    <w:basedOn w:val="Normal"/>
    <w:link w:val="HeaderChar"/>
    <w:uiPriority w:val="99"/>
    <w:unhideWhenUsed/>
    <w:rsid w:val="00062576"/>
    <w:pPr>
      <w:tabs>
        <w:tab w:val="center" w:pos="4680"/>
        <w:tab w:val="right" w:pos="9360"/>
      </w:tabs>
    </w:pPr>
  </w:style>
  <w:style w:type="character" w:customStyle="1" w:styleId="HeaderChar">
    <w:name w:val="Header Char"/>
    <w:basedOn w:val="DefaultParagraphFont"/>
    <w:link w:val="Header"/>
    <w:uiPriority w:val="99"/>
    <w:rsid w:val="00062576"/>
  </w:style>
  <w:style w:type="paragraph" w:styleId="Footer">
    <w:name w:val="footer"/>
    <w:basedOn w:val="Normal"/>
    <w:link w:val="FooterChar"/>
    <w:uiPriority w:val="99"/>
    <w:unhideWhenUsed/>
    <w:rsid w:val="00FF1A86"/>
    <w:pPr>
      <w:tabs>
        <w:tab w:val="center" w:pos="4680"/>
        <w:tab w:val="right" w:pos="9360"/>
      </w:tabs>
      <w:spacing w:before="0" w:after="0"/>
      <w:ind w:right="360"/>
    </w:pPr>
    <w:rPr>
      <w:b/>
      <w:color w:val="868786"/>
      <w:sz w:val="22"/>
      <w:szCs w:val="32"/>
    </w:rPr>
  </w:style>
  <w:style w:type="character" w:customStyle="1" w:styleId="FooterChar">
    <w:name w:val="Footer Char"/>
    <w:basedOn w:val="DefaultParagraphFont"/>
    <w:link w:val="Footer"/>
    <w:uiPriority w:val="99"/>
    <w:rsid w:val="00FF1A86"/>
    <w:rPr>
      <w:b/>
      <w:color w:val="868786"/>
      <w:sz w:val="22"/>
      <w:szCs w:val="32"/>
    </w:rPr>
  </w:style>
  <w:style w:type="paragraph" w:styleId="Title">
    <w:name w:val="Title"/>
    <w:basedOn w:val="Normal"/>
    <w:next w:val="Normal"/>
    <w:link w:val="TitleChar"/>
    <w:uiPriority w:val="10"/>
    <w:qFormat/>
    <w:rsid w:val="00FF1A86"/>
    <w:pPr>
      <w:contextualSpacing/>
    </w:pPr>
    <w:rPr>
      <w:rFonts w:asciiTheme="majorHAnsi" w:eastAsiaTheme="majorEastAsia" w:hAnsiTheme="majorHAnsi" w:cstheme="majorBidi"/>
      <w:b/>
      <w:color w:val="2670AA"/>
      <w:spacing w:val="-10"/>
      <w:kern w:val="28"/>
      <w:sz w:val="56"/>
      <w:szCs w:val="56"/>
    </w:rPr>
  </w:style>
  <w:style w:type="character" w:customStyle="1" w:styleId="TitleChar">
    <w:name w:val="Title Char"/>
    <w:basedOn w:val="DefaultParagraphFont"/>
    <w:link w:val="Title"/>
    <w:uiPriority w:val="10"/>
    <w:rsid w:val="00FF1A86"/>
    <w:rPr>
      <w:rFonts w:asciiTheme="majorHAnsi" w:eastAsiaTheme="majorEastAsia" w:hAnsiTheme="majorHAnsi" w:cstheme="majorBidi"/>
      <w:b/>
      <w:color w:val="2670AA"/>
      <w:spacing w:val="-10"/>
      <w:kern w:val="28"/>
      <w:sz w:val="56"/>
      <w:szCs w:val="56"/>
    </w:rPr>
  </w:style>
  <w:style w:type="character" w:styleId="Strong">
    <w:name w:val="Strong"/>
    <w:basedOn w:val="DefaultParagraphFont"/>
    <w:uiPriority w:val="22"/>
    <w:qFormat/>
    <w:rsid w:val="00CD535A"/>
    <w:rPr>
      <w:b/>
      <w:bCs/>
    </w:rPr>
  </w:style>
  <w:style w:type="character" w:customStyle="1" w:styleId="Heading1Char">
    <w:name w:val="Heading 1 Char"/>
    <w:basedOn w:val="DefaultParagraphFont"/>
    <w:link w:val="Heading1"/>
    <w:uiPriority w:val="9"/>
    <w:rsid w:val="00BD071F"/>
    <w:rPr>
      <w:rFonts w:asciiTheme="majorHAnsi" w:eastAsiaTheme="majorEastAsia" w:hAnsiTheme="majorHAnsi" w:cstheme="majorBidi"/>
      <w:b/>
      <w:color w:val="2670AA"/>
      <w:sz w:val="32"/>
      <w:szCs w:val="32"/>
    </w:rPr>
  </w:style>
  <w:style w:type="character" w:customStyle="1" w:styleId="Heading2Char">
    <w:name w:val="Heading 2 Char"/>
    <w:basedOn w:val="DefaultParagraphFont"/>
    <w:link w:val="Heading2"/>
    <w:uiPriority w:val="9"/>
    <w:rsid w:val="00FF1A86"/>
    <w:rPr>
      <w:rFonts w:asciiTheme="majorHAnsi" w:eastAsiaTheme="majorEastAsia" w:hAnsiTheme="majorHAnsi" w:cstheme="majorBidi"/>
      <w:b/>
      <w:color w:val="393A39"/>
      <w:sz w:val="28"/>
      <w:szCs w:val="26"/>
    </w:rPr>
  </w:style>
  <w:style w:type="character" w:styleId="PageNumber">
    <w:name w:val="page number"/>
    <w:basedOn w:val="DefaultParagraphFont"/>
    <w:uiPriority w:val="99"/>
    <w:semiHidden/>
    <w:unhideWhenUsed/>
    <w:rsid w:val="00FF1A86"/>
  </w:style>
  <w:style w:type="paragraph" w:styleId="NormalWeb">
    <w:name w:val="Normal (Web)"/>
    <w:basedOn w:val="Normal"/>
    <w:uiPriority w:val="99"/>
    <w:semiHidden/>
    <w:unhideWhenUsed/>
    <w:rsid w:val="007533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5332F"/>
    <w:rPr>
      <w:i/>
      <w:iCs/>
    </w:rPr>
  </w:style>
  <w:style w:type="paragraph" w:customStyle="1" w:styleId="rteindent4">
    <w:name w:val="rteindent4"/>
    <w:basedOn w:val="Normal"/>
    <w:rsid w:val="007533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69E7"/>
    <w:rPr>
      <w:color w:val="0563C1" w:themeColor="hyperlink"/>
      <w:u w:val="single"/>
    </w:rPr>
  </w:style>
  <w:style w:type="character" w:styleId="UnresolvedMention">
    <w:name w:val="Unresolved Mention"/>
    <w:basedOn w:val="DefaultParagraphFont"/>
    <w:uiPriority w:val="99"/>
    <w:semiHidden/>
    <w:unhideWhenUsed/>
    <w:rsid w:val="006369E7"/>
    <w:rPr>
      <w:color w:val="605E5C"/>
      <w:shd w:val="clear" w:color="auto" w:fill="E1DFDD"/>
    </w:rPr>
  </w:style>
  <w:style w:type="paragraph" w:styleId="NoSpacing">
    <w:name w:val="No Spacing"/>
    <w:uiPriority w:val="1"/>
    <w:qFormat/>
    <w:rsid w:val="0033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e.ok.gov/tle-train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ycie.smith@sde.ok.gov"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CB7F1-FAD9-5B4F-B97B-724B9579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Ingram</dc:creator>
  <cp:keywords/>
  <dc:description/>
  <cp:lastModifiedBy>Jaycie Smith</cp:lastModifiedBy>
  <cp:revision>2</cp:revision>
  <dcterms:created xsi:type="dcterms:W3CDTF">2020-09-29T17:09:00Z</dcterms:created>
  <dcterms:modified xsi:type="dcterms:W3CDTF">2020-09-29T17:09:00Z</dcterms:modified>
</cp:coreProperties>
</file>