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EA97A" w14:textId="5E525854" w:rsidR="0003526B" w:rsidRDefault="00CB4CEE" w:rsidP="00AB2D5B">
      <w:pPr>
        <w:pStyle w:val="Title"/>
      </w:pPr>
      <w:r>
        <w:t xml:space="preserve">Dropout </w:t>
      </w:r>
      <w:r w:rsidR="00026863">
        <w:t>Report Calculations</w:t>
      </w:r>
      <w:r w:rsidR="00426D6D" w:rsidRPr="00AB2D5B">
        <w:t xml:space="preserve"> </w:t>
      </w:r>
    </w:p>
    <w:p w14:paraId="7C7C817F" w14:textId="6D81A617" w:rsidR="00BE4C31" w:rsidRDefault="00BE4C31" w:rsidP="00BE4C31">
      <w:r>
        <w:t xml:space="preserve">State statute (70 O.S. § 35 E) requires each accredited Oklahoma school with students in any of the grades 7 - 12 to report dropouts to the Oklahoma State Department of Education (OSDE) on an annual basis for state and federal reporting requirements. </w:t>
      </w:r>
    </w:p>
    <w:p w14:paraId="21CDC402" w14:textId="2CED010E" w:rsidR="00A87615" w:rsidRPr="00BE4C31" w:rsidRDefault="00A87615" w:rsidP="00BE4C31">
      <w:r w:rsidRPr="00A87615">
        <w:t xml:space="preserve">For </w:t>
      </w:r>
      <w:r>
        <w:t xml:space="preserve">the 2021 dropout report </w:t>
      </w:r>
      <w:r w:rsidRPr="00A87615">
        <w:t>only, preliminary calculations are being sent to you as a .csv via t e-mail so that you may review while the calculation report web page is being built</w:t>
      </w:r>
      <w:r>
        <w:t xml:space="preserve"> on Accountability Reporting</w:t>
      </w:r>
      <w:r w:rsidRPr="00A87615">
        <w:t>.</w:t>
      </w:r>
      <w:r>
        <w:t xml:space="preserve"> The purpose of this document is to assist you in reviewing the calculations in your .csv file.</w:t>
      </w:r>
    </w:p>
    <w:p w14:paraId="4BC956E0" w14:textId="226EA38B" w:rsidR="009F74E5" w:rsidRPr="009F74E5" w:rsidRDefault="003C5AB8" w:rsidP="009F74E5">
      <w:pPr>
        <w:pStyle w:val="Heading2"/>
      </w:pPr>
      <w:r>
        <w:t>Denominators</w:t>
      </w:r>
      <w:r w:rsidR="0018531D">
        <w:t xml:space="preserve"> (Columns G – J)</w:t>
      </w:r>
    </w:p>
    <w:p w14:paraId="58F19E53" w14:textId="56B6F65A" w:rsidR="00A62CFE" w:rsidRPr="00A62CFE" w:rsidRDefault="00A62CFE" w:rsidP="00A62CFE">
      <w:pPr>
        <w:spacing w:after="160" w:line="259" w:lineRule="auto"/>
        <w:rPr>
          <w:rFonts w:eastAsiaTheme="minorEastAsia"/>
          <w:color w:val="000000" w:themeColor="text1"/>
        </w:rPr>
      </w:pPr>
      <w:r w:rsidRPr="6A2EE87E">
        <w:rPr>
          <w:rFonts w:eastAsiaTheme="minorEastAsia"/>
          <w:color w:val="000000" w:themeColor="text1"/>
        </w:rPr>
        <w:t xml:space="preserve">As part of the dropout rate, the denominator used for all calculations is the school’s certified enrollment count on the October 1 report. </w:t>
      </w:r>
    </w:p>
    <w:p w14:paraId="58D7944D" w14:textId="2D7DC9DE" w:rsidR="000C3E91" w:rsidRDefault="00CB4CEE" w:rsidP="00867651">
      <w:r>
        <w:t xml:space="preserve">To </w:t>
      </w:r>
      <w:r w:rsidR="000C459C">
        <w:t xml:space="preserve">begin </w:t>
      </w:r>
      <w:r>
        <w:t>verify</w:t>
      </w:r>
      <w:r w:rsidR="000C459C">
        <w:t>ing</w:t>
      </w:r>
      <w:r>
        <w:t xml:space="preserve"> student counts, </w:t>
      </w:r>
      <w:r w:rsidR="000C459C">
        <w:t xml:space="preserve">first </w:t>
      </w:r>
      <w:r>
        <w:t>log in to the Wave Portal in S</w:t>
      </w:r>
      <w:r w:rsidR="004F0895">
        <w:t>ing</w:t>
      </w:r>
      <w:r w:rsidR="00B20A04">
        <w:t>l</w:t>
      </w:r>
      <w:r w:rsidR="004F0895">
        <w:t xml:space="preserve">e Sign </w:t>
      </w:r>
      <w:r>
        <w:t>O</w:t>
      </w:r>
      <w:r w:rsidR="003F7867">
        <w:t>n</w:t>
      </w:r>
      <w:r>
        <w:t xml:space="preserve">. </w:t>
      </w:r>
    </w:p>
    <w:p w14:paraId="60978D19" w14:textId="77777777" w:rsidR="00CE5270" w:rsidRDefault="000C3E91" w:rsidP="00867651">
      <w:r w:rsidRPr="00F57136">
        <w:rPr>
          <w:rStyle w:val="SubtleReference"/>
          <w:noProof/>
        </w:rPr>
        <w:drawing>
          <wp:inline distT="0" distB="0" distL="0" distR="0" wp14:anchorId="6BAAD568" wp14:editId="476F4273">
            <wp:extent cx="3771353" cy="1066305"/>
            <wp:effectExtent l="38100" t="38100" r="38735" b="387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 r="21991"/>
                    <a:stretch/>
                  </pic:blipFill>
                  <pic:spPr bwMode="auto">
                    <a:xfrm>
                      <a:off x="0" y="0"/>
                      <a:ext cx="3780928" cy="1069012"/>
                    </a:xfrm>
                    <a:prstGeom prst="rect">
                      <a:avLst/>
                    </a:prstGeom>
                    <a:ln w="22225" cap="flat" cmpd="sng" algn="ctr">
                      <a:solidFill>
                        <a:srgbClr val="ED7D31">
                          <a:alpha val="87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0A89B5" w14:textId="6FC817F5" w:rsidR="00CE5270" w:rsidRDefault="00CB4CEE" w:rsidP="00867651">
      <w:r>
        <w:t xml:space="preserve">Click the </w:t>
      </w:r>
      <w:r w:rsidR="004F0895">
        <w:t>R</w:t>
      </w:r>
      <w:r>
        <w:t xml:space="preserve">eporting tab and then State Reporting Certification. </w:t>
      </w:r>
    </w:p>
    <w:p w14:paraId="2E84E250" w14:textId="762A469E" w:rsidR="00CE5270" w:rsidRDefault="008B1E88" w:rsidP="00867651">
      <w:r>
        <w:rPr>
          <w:noProof/>
        </w:rPr>
        <w:drawing>
          <wp:inline distT="0" distB="0" distL="0" distR="0" wp14:anchorId="68635D93" wp14:editId="44A356E0">
            <wp:extent cx="3868892" cy="10687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2105" cy="1075193"/>
                    </a:xfrm>
                    <a:prstGeom prst="rect">
                      <a:avLst/>
                    </a:prstGeom>
                    <a:noFill/>
                  </pic:spPr>
                </pic:pic>
              </a:graphicData>
            </a:graphic>
          </wp:inline>
        </w:drawing>
      </w:r>
    </w:p>
    <w:p w14:paraId="429259D5" w14:textId="77777777" w:rsidR="001F78D0" w:rsidRDefault="001F78D0" w:rsidP="00867651"/>
    <w:p w14:paraId="54CF6390" w14:textId="77777777" w:rsidR="001F78D0" w:rsidRDefault="001F78D0" w:rsidP="00867651"/>
    <w:p w14:paraId="5A8238FE" w14:textId="038D0A43" w:rsidR="00C94FD7" w:rsidRDefault="00CB4CEE" w:rsidP="00867651">
      <w:r>
        <w:t>Scroll down and select the appropriate county/district</w:t>
      </w:r>
      <w:r w:rsidR="00C0588B">
        <w:t>, sel</w:t>
      </w:r>
      <w:r w:rsidR="00755D7F">
        <w:t>ect Oct</w:t>
      </w:r>
      <w:r w:rsidR="008729A6">
        <w:t>ober</w:t>
      </w:r>
      <w:r w:rsidR="00755D7F">
        <w:t xml:space="preserve"> 1</w:t>
      </w:r>
      <w:r w:rsidR="008729A6">
        <w:t xml:space="preserve"> Consolidated Report,</w:t>
      </w:r>
      <w:r>
        <w:t xml:space="preserve"> and then select a site from </w:t>
      </w:r>
      <w:r w:rsidR="00EE23C8">
        <w:t>what you see</w:t>
      </w:r>
      <w:r>
        <w:t xml:space="preserve"> listed. </w:t>
      </w:r>
    </w:p>
    <w:p w14:paraId="222CE4F4" w14:textId="2033E9B4" w:rsidR="001B7A89" w:rsidRDefault="00897113" w:rsidP="00867651">
      <w:r>
        <w:rPr>
          <w:noProof/>
        </w:rPr>
        <w:lastRenderedPageBreak/>
        <w:drawing>
          <wp:inline distT="0" distB="0" distL="0" distR="0" wp14:anchorId="31B7BE01" wp14:editId="4C562771">
            <wp:extent cx="5968365" cy="1493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8365" cy="1493520"/>
                    </a:xfrm>
                    <a:prstGeom prst="rect">
                      <a:avLst/>
                    </a:prstGeom>
                    <a:noFill/>
                  </pic:spPr>
                </pic:pic>
              </a:graphicData>
            </a:graphic>
          </wp:inline>
        </w:drawing>
      </w:r>
    </w:p>
    <w:p w14:paraId="07078288" w14:textId="53C4D737" w:rsidR="00C94FD7" w:rsidRDefault="007455CF" w:rsidP="00867651">
      <w:r>
        <w:rPr>
          <w:noProof/>
        </w:rPr>
        <w:drawing>
          <wp:inline distT="0" distB="0" distL="0" distR="0" wp14:anchorId="17B14A90" wp14:editId="4181319F">
            <wp:extent cx="5968365" cy="1310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8365" cy="1310640"/>
                    </a:xfrm>
                    <a:prstGeom prst="rect">
                      <a:avLst/>
                    </a:prstGeom>
                    <a:noFill/>
                  </pic:spPr>
                </pic:pic>
              </a:graphicData>
            </a:graphic>
          </wp:inline>
        </w:drawing>
      </w:r>
    </w:p>
    <w:p w14:paraId="3CB87E7C" w14:textId="77777777" w:rsidR="00F76D66" w:rsidRDefault="00CB4CEE" w:rsidP="00867651">
      <w:r>
        <w:t xml:space="preserve">After selecting a school, click the reporting tools tab, select Oct 1 Student Demographic as the report and 2021 as the school year. </w:t>
      </w:r>
    </w:p>
    <w:p w14:paraId="02E8C47D" w14:textId="107B5D1E" w:rsidR="00F76D66" w:rsidRDefault="00F25AB1" w:rsidP="00867651">
      <w:r>
        <w:rPr>
          <w:noProof/>
        </w:rPr>
        <w:drawing>
          <wp:inline distT="0" distB="0" distL="0" distR="0" wp14:anchorId="6556F3B5" wp14:editId="67B01021">
            <wp:extent cx="4608830" cy="143256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8830" cy="1432560"/>
                    </a:xfrm>
                    <a:prstGeom prst="rect">
                      <a:avLst/>
                    </a:prstGeom>
                    <a:noFill/>
                  </pic:spPr>
                </pic:pic>
              </a:graphicData>
            </a:graphic>
          </wp:inline>
        </w:drawing>
      </w:r>
    </w:p>
    <w:p w14:paraId="44A56901" w14:textId="13B9E745" w:rsidR="00867651" w:rsidRDefault="00CB4CEE" w:rsidP="00867651">
      <w:r>
        <w:t xml:space="preserve">Now, click view report, and near the top of the report page you’ll be able to save your report as an </w:t>
      </w:r>
      <w:r w:rsidR="00AE1E8C">
        <w:t>E</w:t>
      </w:r>
      <w:r>
        <w:t>xcel file.</w:t>
      </w:r>
    </w:p>
    <w:p w14:paraId="5ABE613B" w14:textId="0B04503A" w:rsidR="00D030BA" w:rsidRDefault="00D030BA" w:rsidP="00867651">
      <w:r>
        <w:rPr>
          <w:noProof/>
        </w:rPr>
        <w:drawing>
          <wp:inline distT="0" distB="0" distL="0" distR="0" wp14:anchorId="09438865" wp14:editId="3449B728">
            <wp:extent cx="1993265" cy="804545"/>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804545"/>
                    </a:xfrm>
                    <a:prstGeom prst="rect">
                      <a:avLst/>
                    </a:prstGeom>
                    <a:noFill/>
                  </pic:spPr>
                </pic:pic>
              </a:graphicData>
            </a:graphic>
          </wp:inline>
        </w:drawing>
      </w:r>
    </w:p>
    <w:p w14:paraId="0179E08C" w14:textId="2E05E5B6" w:rsidR="00A87615" w:rsidRDefault="00CB4CEE" w:rsidP="00867651">
      <w:r>
        <w:t xml:space="preserve">With this Excel file, you’ll be able to filter by grade level and age to confirm student counts. </w:t>
      </w:r>
      <w:r w:rsidR="00A87615">
        <w:t xml:space="preserve">To </w:t>
      </w:r>
      <w:r w:rsidR="0018531D">
        <w:t>meet</w:t>
      </w:r>
      <w:r w:rsidR="00A87615">
        <w:t xml:space="preserve"> state reporting requirements</w:t>
      </w:r>
      <w:r w:rsidR="0018531D">
        <w:t>,</w:t>
      </w:r>
      <w:r w:rsidR="00A87615">
        <w:t xml:space="preserve"> we used the age </w:t>
      </w:r>
      <w:r w:rsidR="0018531D">
        <w:t xml:space="preserve">(via Date of Birth) </w:t>
      </w:r>
      <w:r w:rsidR="00A87615">
        <w:t>of the student as of Oct 1. 2020</w:t>
      </w:r>
      <w:r w:rsidR="0018531D">
        <w:t xml:space="preserve"> to filter out students aged 19 or older in column I.</w:t>
      </w:r>
    </w:p>
    <w:p w14:paraId="2D1C84BD" w14:textId="071D9685" w:rsidR="002F778A" w:rsidRDefault="002F778A" w:rsidP="002F778A">
      <w:pPr>
        <w:pStyle w:val="Heading2"/>
      </w:pPr>
      <w:r>
        <w:lastRenderedPageBreak/>
        <w:t>Numerators</w:t>
      </w:r>
      <w:r w:rsidR="0018531D">
        <w:t xml:space="preserve"> (Columns M, O, Q - AL</w:t>
      </w:r>
    </w:p>
    <w:p w14:paraId="138471DD" w14:textId="7E3A3167" w:rsidR="005E0FF8" w:rsidRPr="005E0FF8" w:rsidRDefault="00A82764" w:rsidP="005E0FF8">
      <w:r>
        <w:rPr>
          <w:rFonts w:eastAsiaTheme="minorEastAsia"/>
          <w:color w:val="000000" w:themeColor="text1"/>
        </w:rPr>
        <w:t>Because</w:t>
      </w:r>
      <w:r w:rsidR="005E0FF8" w:rsidRPr="6A2EE87E">
        <w:rPr>
          <w:rFonts w:eastAsiaTheme="minorEastAsia"/>
          <w:color w:val="000000" w:themeColor="text1"/>
        </w:rPr>
        <w:t xml:space="preserve"> required state and federal reporting have different specifications for how </w:t>
      </w:r>
      <w:r w:rsidR="003A2AE6">
        <w:rPr>
          <w:rFonts w:eastAsiaTheme="minorEastAsia"/>
          <w:color w:val="000000" w:themeColor="text1"/>
        </w:rPr>
        <w:t xml:space="preserve">the </w:t>
      </w:r>
      <w:r w:rsidR="00C5291C">
        <w:rPr>
          <w:rFonts w:eastAsiaTheme="minorEastAsia"/>
          <w:color w:val="000000" w:themeColor="text1"/>
        </w:rPr>
        <w:t>dropout</w:t>
      </w:r>
      <w:r>
        <w:rPr>
          <w:rFonts w:eastAsiaTheme="minorEastAsia"/>
          <w:color w:val="000000" w:themeColor="text1"/>
        </w:rPr>
        <w:t xml:space="preserve"> numerator</w:t>
      </w:r>
      <w:r w:rsidR="005E0FF8" w:rsidRPr="6A2EE87E">
        <w:rPr>
          <w:rFonts w:eastAsiaTheme="minorEastAsia"/>
          <w:color w:val="000000" w:themeColor="text1"/>
        </w:rPr>
        <w:t xml:space="preserve"> is calculated, </w:t>
      </w:r>
      <w:r w:rsidR="0018531D">
        <w:rPr>
          <w:rFonts w:eastAsiaTheme="minorEastAsia"/>
          <w:color w:val="000000" w:themeColor="text1"/>
        </w:rPr>
        <w:t>there are several columns representing numerators based on both state and federal requirements.</w:t>
      </w:r>
    </w:p>
    <w:p w14:paraId="0ABCEFDC" w14:textId="03517599" w:rsidR="00BA5EA0" w:rsidRDefault="0018531D" w:rsidP="00867651">
      <w:r>
        <w:t>D</w:t>
      </w:r>
      <w:r w:rsidR="00CB4CEE">
        <w:t>ropout counts can</w:t>
      </w:r>
      <w:r w:rsidR="00A75275">
        <w:t xml:space="preserve"> </w:t>
      </w:r>
      <w:r w:rsidR="00CB4CEE">
        <w:t>be verified through the dropout report</w:t>
      </w:r>
      <w:r w:rsidR="003A2AE6">
        <w:t xml:space="preserve"> in the Accountability R</w:t>
      </w:r>
      <w:r w:rsidR="008B040D">
        <w:t>eporting application</w:t>
      </w:r>
      <w:r w:rsidR="00CB4CEE">
        <w:t xml:space="preserve">. </w:t>
      </w:r>
      <w:r w:rsidR="00507C46">
        <w:t>After logging</w:t>
      </w:r>
      <w:r w:rsidR="008350FE">
        <w:t xml:space="preserve"> in to </w:t>
      </w:r>
      <w:r w:rsidR="004F0895">
        <w:t>SSO</w:t>
      </w:r>
      <w:r w:rsidR="00507C46">
        <w:t xml:space="preserve"> and </w:t>
      </w:r>
      <w:r w:rsidR="009167A5">
        <w:t>clicking</w:t>
      </w:r>
      <w:r w:rsidR="00D308F7">
        <w:t xml:space="preserve"> into the </w:t>
      </w:r>
      <w:r w:rsidR="00507C46">
        <w:t>app,</w:t>
      </w:r>
      <w:r w:rsidR="008350FE">
        <w:t xml:space="preserve"> click the </w:t>
      </w:r>
      <w:r w:rsidR="004F0895">
        <w:t>R</w:t>
      </w:r>
      <w:r w:rsidR="008350FE">
        <w:t>eports</w:t>
      </w:r>
      <w:r w:rsidR="00D308F7">
        <w:t xml:space="preserve"> tab. </w:t>
      </w:r>
    </w:p>
    <w:p w14:paraId="72242012" w14:textId="5CFC50A9" w:rsidR="009F302A" w:rsidRDefault="009F302A" w:rsidP="00867651">
      <w:r>
        <w:rPr>
          <w:noProof/>
        </w:rPr>
        <w:drawing>
          <wp:inline distT="0" distB="0" distL="0" distR="0" wp14:anchorId="13D7A708" wp14:editId="1240AA93">
            <wp:extent cx="5739631" cy="9912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7583" cy="994335"/>
                    </a:xfrm>
                    <a:prstGeom prst="rect">
                      <a:avLst/>
                    </a:prstGeom>
                    <a:noFill/>
                  </pic:spPr>
                </pic:pic>
              </a:graphicData>
            </a:graphic>
          </wp:inline>
        </w:drawing>
      </w:r>
    </w:p>
    <w:p w14:paraId="00B9FFE2" w14:textId="399F8E59" w:rsidR="00BA5EA0" w:rsidRDefault="00BA5EA0" w:rsidP="00867651">
      <w:r>
        <w:t xml:space="preserve">Next, select the dropout report from the </w:t>
      </w:r>
      <w:r w:rsidR="004F0895">
        <w:t>R</w:t>
      </w:r>
      <w:r w:rsidR="005A0162">
        <w:t xml:space="preserve">eports dropdown list. </w:t>
      </w:r>
    </w:p>
    <w:p w14:paraId="3924CAF8" w14:textId="14515D53" w:rsidR="00C277D3" w:rsidRDefault="00C277D3" w:rsidP="00867651">
      <w:r>
        <w:rPr>
          <w:noProof/>
        </w:rPr>
        <w:drawing>
          <wp:inline distT="0" distB="0" distL="0" distR="0" wp14:anchorId="1FCA9747" wp14:editId="71933A81">
            <wp:extent cx="5772150" cy="11672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4291" cy="1179769"/>
                    </a:xfrm>
                    <a:prstGeom prst="rect">
                      <a:avLst/>
                    </a:prstGeom>
                    <a:noFill/>
                  </pic:spPr>
                </pic:pic>
              </a:graphicData>
            </a:graphic>
          </wp:inline>
        </w:drawing>
      </w:r>
    </w:p>
    <w:p w14:paraId="2A125FC9" w14:textId="461EFE12" w:rsidR="00CB4CEE" w:rsidRDefault="00CB4CEE" w:rsidP="00867651">
      <w:r>
        <w:t xml:space="preserve">Click the </w:t>
      </w:r>
      <w:r w:rsidR="0042628B">
        <w:t xml:space="preserve">blue </w:t>
      </w:r>
      <w:r>
        <w:t>numerator</w:t>
      </w:r>
      <w:r w:rsidR="0042628B">
        <w:t xml:space="preserve"> </w:t>
      </w:r>
      <w:r>
        <w:t>link</w:t>
      </w:r>
      <w:r w:rsidR="006E255C">
        <w:t>.</w:t>
      </w:r>
      <w:r w:rsidR="0018531D">
        <w:t xml:space="preserve"> Every demographic </w:t>
      </w:r>
      <w:proofErr w:type="gramStart"/>
      <w:r w:rsidR="0018531D">
        <w:t>need</w:t>
      </w:r>
      <w:proofErr w:type="gramEnd"/>
      <w:r w:rsidR="0018531D">
        <w:t xml:space="preserve"> to filter for the appropriate numerator (grade, date of birth for age, gender, and race/ethnicity) are included in this pop-out</w:t>
      </w:r>
      <w:r>
        <w:t xml:space="preserve">. </w:t>
      </w:r>
    </w:p>
    <w:p w14:paraId="1F8FDFFE" w14:textId="6A2D08BD" w:rsidR="00DE2260" w:rsidRPr="00867651" w:rsidRDefault="00DE2260" w:rsidP="00867651">
      <w:r>
        <w:rPr>
          <w:noProof/>
        </w:rPr>
        <w:drawing>
          <wp:inline distT="0" distB="0" distL="0" distR="0" wp14:anchorId="3FF81306" wp14:editId="785B359E">
            <wp:extent cx="5687651" cy="11620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6858" cy="1163931"/>
                    </a:xfrm>
                    <a:prstGeom prst="rect">
                      <a:avLst/>
                    </a:prstGeom>
                    <a:noFill/>
                  </pic:spPr>
                </pic:pic>
              </a:graphicData>
            </a:graphic>
          </wp:inline>
        </w:drawing>
      </w:r>
    </w:p>
    <w:p w14:paraId="0020EBC9" w14:textId="625804FF" w:rsidR="0003526B" w:rsidRDefault="00DA794B" w:rsidP="0003526B">
      <w:r>
        <w:rPr>
          <w:noProof/>
        </w:rPr>
        <w:drawing>
          <wp:inline distT="0" distB="0" distL="0" distR="0" wp14:anchorId="0528F7A0" wp14:editId="698391A1">
            <wp:extent cx="5674995" cy="116410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7983" cy="1170869"/>
                    </a:xfrm>
                    <a:prstGeom prst="rect">
                      <a:avLst/>
                    </a:prstGeom>
                    <a:noFill/>
                  </pic:spPr>
                </pic:pic>
              </a:graphicData>
            </a:graphic>
          </wp:inline>
        </w:drawing>
      </w:r>
    </w:p>
    <w:p w14:paraId="00AE8F53" w14:textId="7E7ACB14" w:rsidR="00FA0D43" w:rsidRDefault="00FA0D43">
      <w:pPr>
        <w:spacing w:before="0" w:after="0"/>
        <w:rPr>
          <w:rFonts w:asciiTheme="majorHAnsi" w:eastAsiaTheme="majorEastAsia" w:hAnsiTheme="majorHAnsi" w:cstheme="majorBidi"/>
          <w:b/>
          <w:color w:val="393A39"/>
          <w:sz w:val="28"/>
          <w:szCs w:val="26"/>
        </w:rPr>
      </w:pPr>
    </w:p>
    <w:p w14:paraId="361AFB8E" w14:textId="6A7F5148" w:rsidR="007C7739" w:rsidRDefault="007C7739" w:rsidP="007C7739">
      <w:pPr>
        <w:pStyle w:val="Heading2"/>
      </w:pPr>
      <w:r>
        <w:lastRenderedPageBreak/>
        <w:t>OHP and exceptions (Columns AM – AQ)</w:t>
      </w:r>
    </w:p>
    <w:p w14:paraId="315E2AD9" w14:textId="04819A24" w:rsidR="007C7739" w:rsidRDefault="007C7739" w:rsidP="007C7739">
      <w:r>
        <w:t>Students identified as Out-of-home placement are not included in your official dropout rate. For greater transparency, they are separated out in their own calculation. Because of the high mobility of these students, the denominator includes the total number of OHP students served by your school or district during the school year.</w:t>
      </w:r>
    </w:p>
    <w:p w14:paraId="7B02FFD6" w14:textId="6EE89060" w:rsidR="007C7739" w:rsidRPr="007C7739" w:rsidRDefault="007C7739" w:rsidP="007C7739">
      <w:r>
        <w:t>Exceptions are students for whom you provided documentation showing that records were requested or provided for purposes of enrolling in another Oklahoma school, but the st</w:t>
      </w:r>
      <w:r w:rsidR="00824DFE">
        <w:t xml:space="preserve">udent never actually enrolled. These students are not included in your official numerator, but they are shown here in an unadjusted dropout rate. </w:t>
      </w:r>
      <w:r w:rsidR="00824DFE" w:rsidRPr="00824DFE">
        <w:rPr>
          <w:b/>
          <w:bCs/>
        </w:rPr>
        <w:t>Neither</w:t>
      </w:r>
      <w:r w:rsidR="00824DFE">
        <w:t xml:space="preserve"> the unadjusted dropout rate </w:t>
      </w:r>
      <w:r w:rsidR="00824DFE" w:rsidRPr="00824DFE">
        <w:rPr>
          <w:b/>
          <w:bCs/>
        </w:rPr>
        <w:t>nor</w:t>
      </w:r>
      <w:r w:rsidR="00824DFE">
        <w:t xml:space="preserve"> the exception count will be included in the public report.</w:t>
      </w:r>
    </w:p>
    <w:p w14:paraId="3016D24F" w14:textId="6314F57F" w:rsidR="007C7739" w:rsidRDefault="007C7739" w:rsidP="007C7739">
      <w:pPr>
        <w:pStyle w:val="Heading2"/>
      </w:pPr>
      <w:r>
        <w:t>Verifying Rates</w:t>
      </w:r>
    </w:p>
    <w:p w14:paraId="780A905B" w14:textId="768EE5DB" w:rsidR="007C7739" w:rsidRDefault="007C7739" w:rsidP="007C7739">
      <w:r>
        <w:t>Dropout rates can be verified by dividing the appropriate numerator by the denominator. The formula for each rate is specified in the included data dictionary</w:t>
      </w:r>
    </w:p>
    <w:p w14:paraId="172636F3" w14:textId="77777777" w:rsidR="007C7739" w:rsidRPr="007C7739" w:rsidRDefault="007C7739" w:rsidP="007C7739"/>
    <w:p w14:paraId="4E0D0F2E" w14:textId="4DE8BD27" w:rsidR="00AF0F87" w:rsidRDefault="0018531D" w:rsidP="00AF0F87">
      <w:pPr>
        <w:pStyle w:val="Heading2"/>
      </w:pPr>
      <w:r>
        <w:t>How to ask us a question about the calculations</w:t>
      </w:r>
    </w:p>
    <w:p w14:paraId="216B80C6" w14:textId="215FE8D2" w:rsidR="0018531D" w:rsidRDefault="0018531D" w:rsidP="00FA0D43">
      <w:r>
        <w:t>If you have evidence that any of the preliminary numbers are incorrect</w:t>
      </w:r>
      <w:r w:rsidR="007C7739">
        <w:t>, if a documented rule is not being followed</w:t>
      </w:r>
      <w:r>
        <w:t>, or if you believe that an appeal was not applied appropriately, you may use the same application to submit a question or concern for us to review.</w:t>
      </w:r>
    </w:p>
    <w:p w14:paraId="72575ACC" w14:textId="1238A054" w:rsidR="000663BF" w:rsidRDefault="00242DD9" w:rsidP="00FA0D43">
      <w:r>
        <w:rPr>
          <w:noProof/>
        </w:rPr>
        <w:drawing>
          <wp:inline distT="0" distB="0" distL="0" distR="0" wp14:anchorId="425A4745" wp14:editId="102414BF">
            <wp:extent cx="1177996" cy="288925"/>
            <wp:effectExtent l="19050" t="19050" r="22225" b="15875"/>
            <wp:docPr id="1288598366" name="Picture 128859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r="2581"/>
                    <a:stretch/>
                  </pic:blipFill>
                  <pic:spPr bwMode="auto">
                    <a:xfrm>
                      <a:off x="0" y="0"/>
                      <a:ext cx="1204621" cy="29545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48079F2" w14:textId="6A8B054D" w:rsidR="00350241" w:rsidRDefault="00337946" w:rsidP="00FA0D43">
      <w:r>
        <w:t xml:space="preserve"> </w:t>
      </w:r>
      <w:r w:rsidR="000663BF">
        <w:rPr>
          <w:noProof/>
        </w:rPr>
        <w:drawing>
          <wp:inline distT="0" distB="0" distL="0" distR="0" wp14:anchorId="1F9DF503" wp14:editId="013D8674">
            <wp:extent cx="2764018" cy="1731645"/>
            <wp:effectExtent l="19050" t="19050" r="1778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5024" cy="1738540"/>
                    </a:xfrm>
                    <a:prstGeom prst="rect">
                      <a:avLst/>
                    </a:prstGeom>
                    <a:ln>
                      <a:solidFill>
                        <a:schemeClr val="accent2"/>
                      </a:solidFill>
                    </a:ln>
                  </pic:spPr>
                </pic:pic>
              </a:graphicData>
            </a:graphic>
          </wp:inline>
        </w:drawing>
      </w:r>
    </w:p>
    <w:p w14:paraId="39B6EF61" w14:textId="29E38647" w:rsidR="0072627A" w:rsidRDefault="0018531D" w:rsidP="00FA0D43">
      <w:pPr>
        <w:rPr>
          <w:rFonts w:eastAsia="Times New Roman"/>
          <w:color w:val="000000"/>
        </w:rPr>
      </w:pPr>
      <w:r>
        <w:rPr>
          <w:rFonts w:eastAsia="Times New Roman"/>
          <w:color w:val="000000"/>
        </w:rPr>
        <w:t xml:space="preserve">Please keep in mind that we are only able to review inquires relating to </w:t>
      </w:r>
      <w:r w:rsidR="007C7739">
        <w:rPr>
          <w:rFonts w:eastAsia="Times New Roman"/>
          <w:color w:val="000000"/>
        </w:rPr>
        <w:t>reviewing aggregations, and this should not be used as a forum to submit Data Verification Requests.</w:t>
      </w:r>
    </w:p>
    <w:p w14:paraId="62E5A2A7" w14:textId="5EA29735" w:rsidR="00FD2BCD" w:rsidRDefault="007C7739" w:rsidP="00FA0D43">
      <w:pPr>
        <w:rPr>
          <w:rFonts w:eastAsia="Times New Roman"/>
          <w:color w:val="000000"/>
        </w:rPr>
      </w:pPr>
      <w:r>
        <w:rPr>
          <w:rFonts w:eastAsia="Times New Roman"/>
          <w:color w:val="000000"/>
        </w:rPr>
        <w:t xml:space="preserve">We ask that you please send us any concerns by </w:t>
      </w:r>
      <w:r w:rsidR="002E76EC">
        <w:rPr>
          <w:rFonts w:eastAsia="Times New Roman"/>
          <w:color w:val="000000"/>
        </w:rPr>
        <w:t>12:00 PM on Monday, April 25</w:t>
      </w:r>
      <w:r w:rsidR="002E76EC" w:rsidRPr="002E76EC">
        <w:rPr>
          <w:rFonts w:eastAsia="Times New Roman"/>
          <w:color w:val="000000"/>
          <w:vertAlign w:val="superscript"/>
        </w:rPr>
        <w:t>th</w:t>
      </w:r>
      <w:r w:rsidR="002E76EC">
        <w:rPr>
          <w:rFonts w:eastAsia="Times New Roman"/>
          <w:color w:val="000000"/>
        </w:rPr>
        <w:t>, 2022</w:t>
      </w:r>
      <w:r>
        <w:rPr>
          <w:rFonts w:eastAsia="Times New Roman"/>
          <w:color w:val="000000"/>
        </w:rPr>
        <w:t>. At the time, we will begin work and finalizing data for public reporting.</w:t>
      </w:r>
    </w:p>
    <w:p w14:paraId="6ED111B3" w14:textId="0B673A83" w:rsidR="007C7739" w:rsidRDefault="007C7739" w:rsidP="00FA0D43">
      <w:pPr>
        <w:rPr>
          <w:rFonts w:eastAsia="Times New Roman"/>
          <w:color w:val="000000"/>
        </w:rPr>
      </w:pPr>
      <w:r>
        <w:rPr>
          <w:rFonts w:eastAsia="Times New Roman"/>
          <w:color w:val="000000"/>
        </w:rPr>
        <w:lastRenderedPageBreak/>
        <w:t xml:space="preserve">If you have any additional questions, please do not hesitate to email us at </w:t>
      </w:r>
      <w:hyperlink r:id="rId23" w:history="1">
        <w:r w:rsidRPr="009F5BF3">
          <w:rPr>
            <w:rStyle w:val="Hyperlink"/>
            <w:rFonts w:eastAsia="Times New Roman"/>
          </w:rPr>
          <w:t>dqr@sde.ok.gov</w:t>
        </w:r>
      </w:hyperlink>
      <w:r>
        <w:rPr>
          <w:rFonts w:eastAsia="Times New Roman"/>
          <w:color w:val="000000"/>
        </w:rPr>
        <w:t xml:space="preserve"> or call us at 405-521-2330.</w:t>
      </w:r>
    </w:p>
    <w:p w14:paraId="123C7049" w14:textId="63B05067" w:rsidR="007C7739" w:rsidRDefault="007C7739" w:rsidP="00FA0D43">
      <w:r>
        <w:rPr>
          <w:rFonts w:eastAsia="Times New Roman"/>
          <w:color w:val="000000"/>
        </w:rPr>
        <w:t>The Data Quality and Research Team</w:t>
      </w:r>
    </w:p>
    <w:p w14:paraId="56E9C5C7" w14:textId="47C6ED0B" w:rsidR="00A7111D" w:rsidRDefault="00A7111D" w:rsidP="0003526B"/>
    <w:sectPr w:rsidR="00A7111D" w:rsidSect="00632A74">
      <w:headerReference w:type="default" r:id="rId24"/>
      <w:footerReference w:type="even" r:id="rId25"/>
      <w:footerReference w:type="default" r:id="rId26"/>
      <w:headerReference w:type="first" r:id="rId27"/>
      <w:footerReference w:type="first" r:id="rId28"/>
      <w:pgSz w:w="12240" w:h="15840"/>
      <w:pgMar w:top="144" w:right="2160" w:bottom="144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0F09B" w14:textId="77777777" w:rsidR="00073220" w:rsidRDefault="00073220" w:rsidP="00062576">
      <w:pPr>
        <w:spacing w:before="0" w:after="0"/>
      </w:pPr>
      <w:r>
        <w:separator/>
      </w:r>
    </w:p>
    <w:p w14:paraId="727B16D0" w14:textId="77777777" w:rsidR="00073220" w:rsidRDefault="00073220"/>
  </w:endnote>
  <w:endnote w:type="continuationSeparator" w:id="0">
    <w:p w14:paraId="33DEDCEF" w14:textId="77777777" w:rsidR="00073220" w:rsidRDefault="00073220" w:rsidP="00062576">
      <w:pPr>
        <w:spacing w:before="0" w:after="0"/>
      </w:pPr>
      <w:r>
        <w:continuationSeparator/>
      </w:r>
    </w:p>
    <w:p w14:paraId="07CE959E" w14:textId="77777777" w:rsidR="00073220" w:rsidRDefault="000732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2605274"/>
      <w:docPartObj>
        <w:docPartGallery w:val="Page Numbers (Bottom of Page)"/>
        <w:docPartUnique/>
      </w:docPartObj>
    </w:sdtPr>
    <w:sdtEndPr>
      <w:rPr>
        <w:rStyle w:val="PageNumber"/>
      </w:rPr>
    </w:sdtEndPr>
    <w:sdtContent>
      <w:p w14:paraId="3AC31178" w14:textId="77777777" w:rsidR="00FF1A86" w:rsidRDefault="00FF1A86" w:rsidP="008F2E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5522900"/>
      <w:docPartObj>
        <w:docPartGallery w:val="Page Numbers (Bottom of Page)"/>
        <w:docPartUnique/>
      </w:docPartObj>
    </w:sdtPr>
    <w:sdtEndPr>
      <w:rPr>
        <w:rStyle w:val="PageNumber"/>
      </w:rPr>
    </w:sdtEndPr>
    <w:sdtContent>
      <w:p w14:paraId="6881F671" w14:textId="77777777" w:rsidR="00FF1A86" w:rsidRDefault="00FF1A86" w:rsidP="00FF1A86">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27472993"/>
      <w:docPartObj>
        <w:docPartGallery w:val="Page Numbers (Bottom of Page)"/>
        <w:docPartUnique/>
      </w:docPartObj>
    </w:sdtPr>
    <w:sdtEndPr>
      <w:rPr>
        <w:rStyle w:val="PageNumber"/>
      </w:rPr>
    </w:sdtEndPr>
    <w:sdtContent>
      <w:p w14:paraId="5CD842B0" w14:textId="77777777" w:rsidR="00FF1A86" w:rsidRDefault="00FF1A86" w:rsidP="00FF1A86">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833A84" w14:textId="77777777" w:rsidR="00FF1A86" w:rsidRDefault="00FF1A86" w:rsidP="00FF1A86">
    <w:pPr>
      <w:pStyle w:val="Footer"/>
    </w:pPr>
  </w:p>
  <w:p w14:paraId="1868DF54" w14:textId="77777777" w:rsidR="004B7BF8" w:rsidRDefault="004B7B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5890693"/>
      <w:docPartObj>
        <w:docPartGallery w:val="Page Numbers (Bottom of Page)"/>
        <w:docPartUnique/>
      </w:docPartObj>
    </w:sdtPr>
    <w:sdtEndPr>
      <w:rPr>
        <w:rStyle w:val="PageNumber"/>
      </w:rPr>
    </w:sdtEndPr>
    <w:sdtContent>
      <w:p w14:paraId="2E09E8BD" w14:textId="77777777" w:rsidR="00FF1A86" w:rsidRDefault="00FF1A86" w:rsidP="008F2E9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325C5F" w14:textId="77777777" w:rsidR="00CD535A" w:rsidRPr="00FF1A86" w:rsidRDefault="00632A74" w:rsidP="00FF1A86">
    <w:pPr>
      <w:pStyle w:val="Footer"/>
      <w:rPr>
        <w:rStyle w:val="Strong"/>
        <w:b/>
        <w:bCs w:val="0"/>
      </w:rPr>
    </w:pPr>
    <w:r w:rsidRPr="00632A74">
      <w:rPr>
        <w:noProof/>
        <w:sz w:val="18"/>
        <w:szCs w:val="22"/>
      </w:rPr>
      <w:drawing>
        <wp:anchor distT="182880" distB="182880" distL="114300" distR="182880" simplePos="0" relativeHeight="251662336" behindDoc="0" locked="0" layoutInCell="1" allowOverlap="1" wp14:anchorId="13B31665" wp14:editId="586EE04E">
          <wp:simplePos x="0" y="0"/>
          <wp:positionH relativeFrom="column">
            <wp:posOffset>0</wp:posOffset>
          </wp:positionH>
          <wp:positionV relativeFrom="paragraph">
            <wp:posOffset>-34925</wp:posOffset>
          </wp:positionV>
          <wp:extent cx="1078865" cy="383540"/>
          <wp:effectExtent l="0" t="0" r="635" b="0"/>
          <wp:wrapSquare wrapText="right"/>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8865" cy="383540"/>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22"/>
      </w:rPr>
      <mc:AlternateContent>
        <mc:Choice Requires="wps">
          <w:drawing>
            <wp:anchor distT="0" distB="0" distL="114300" distR="114300" simplePos="0" relativeHeight="251663360" behindDoc="0" locked="0" layoutInCell="1" allowOverlap="1" wp14:anchorId="309FF258" wp14:editId="0320E3ED">
              <wp:simplePos x="0" y="0"/>
              <wp:positionH relativeFrom="column">
                <wp:posOffset>1155940</wp:posOffset>
              </wp:positionH>
              <wp:positionV relativeFrom="paragraph">
                <wp:posOffset>-22764</wp:posOffset>
              </wp:positionV>
              <wp:extent cx="0" cy="353683"/>
              <wp:effectExtent l="0" t="0" r="12700" b="15240"/>
              <wp:wrapNone/>
              <wp:docPr id="3" name="Straight Connector 3"/>
              <wp:cNvGraphicFramePr/>
              <a:graphic xmlns:a="http://schemas.openxmlformats.org/drawingml/2006/main">
                <a:graphicData uri="http://schemas.microsoft.com/office/word/2010/wordprocessingShape">
                  <wps:wsp>
                    <wps:cNvCnPr/>
                    <wps:spPr>
                      <a:xfrm>
                        <a:off x="0" y="0"/>
                        <a:ext cx="0" cy="353683"/>
                      </a:xfrm>
                      <a:prstGeom prst="line">
                        <a:avLst/>
                      </a:prstGeom>
                      <a:ln w="12700">
                        <a:solidFill>
                          <a:srgbClr val="2670A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4AE98B"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1pt,-1.8pt" to="91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" strokecolor="#2670aa" strokeweight="1pt">
              <v:stroke joinstyle="miter"/>
            </v:line>
          </w:pict>
        </mc:Fallback>
      </mc:AlternateContent>
    </w:r>
    <w:r w:rsidR="00CD535A" w:rsidRPr="00632A74">
      <w:rPr>
        <w:sz w:val="18"/>
        <w:szCs w:val="22"/>
      </w:rPr>
      <w:t>Oklahoma State Department of Education</w:t>
    </w:r>
  </w:p>
  <w:p w14:paraId="200E8DD1" w14:textId="6C3BA15B" w:rsidR="004B7BF8" w:rsidRDefault="007E7779" w:rsidP="00E97A1D">
    <w:pPr>
      <w:pStyle w:val="Footer"/>
    </w:pPr>
    <w:r>
      <w:rPr>
        <w:rStyle w:val="Strong"/>
        <w:b/>
        <w:bCs w:val="0"/>
      </w:rPr>
      <w:t>Dropout Report Calculations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A7A3" w14:textId="77777777" w:rsidR="00CD535A" w:rsidRPr="00BD071F" w:rsidRDefault="00CD535A" w:rsidP="00FF1A86">
    <w:pPr>
      <w:pStyle w:val="Footer"/>
      <w:rPr>
        <w:rStyle w:val="Strong"/>
        <w:b/>
        <w:bCs w:val="0"/>
      </w:rPr>
    </w:pPr>
    <w:r w:rsidRPr="00BD071F">
      <w:rPr>
        <w:rStyle w:val="Strong"/>
        <w:b/>
        <w:bCs w:val="0"/>
      </w:rPr>
      <w:t>Oklahoma State Department of Education</w:t>
    </w:r>
  </w:p>
  <w:p w14:paraId="6ACEB702" w14:textId="77777777" w:rsidR="00BD071F" w:rsidRPr="00BD071F" w:rsidRDefault="00BD071F" w:rsidP="00FF1A86">
    <w:pPr>
      <w:pStyle w:val="Footer"/>
      <w:rPr>
        <w:rStyle w:val="Strong"/>
        <w:b/>
        <w:bCs w:val="0"/>
      </w:rPr>
    </w:pPr>
    <w:r w:rsidRPr="00BD071F">
      <w:rPr>
        <w:rStyle w:val="Strong"/>
        <w:b/>
        <w:bCs w:val="0"/>
      </w:rPr>
      <w:t>Return to Learn: The TLE 2020-21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47E0D" w14:textId="77777777" w:rsidR="00073220" w:rsidRDefault="00073220" w:rsidP="00062576">
      <w:pPr>
        <w:spacing w:before="0" w:after="0"/>
      </w:pPr>
      <w:r>
        <w:separator/>
      </w:r>
    </w:p>
    <w:p w14:paraId="5C548260" w14:textId="77777777" w:rsidR="00073220" w:rsidRDefault="00073220"/>
  </w:footnote>
  <w:footnote w:type="continuationSeparator" w:id="0">
    <w:p w14:paraId="6276978D" w14:textId="77777777" w:rsidR="00073220" w:rsidRDefault="00073220" w:rsidP="00062576">
      <w:pPr>
        <w:spacing w:before="0" w:after="0"/>
      </w:pPr>
      <w:r>
        <w:continuationSeparator/>
      </w:r>
    </w:p>
    <w:p w14:paraId="7AA0EC9D" w14:textId="77777777" w:rsidR="00073220" w:rsidRDefault="000732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631A7" w14:textId="77777777" w:rsidR="00062576" w:rsidRPr="00062576" w:rsidRDefault="00632A74" w:rsidP="00AB2D5B">
    <w:pPr>
      <w:pStyle w:val="Title"/>
    </w:pPr>
    <w:r>
      <w:rPr>
        <w:noProof/>
      </w:rPr>
      <w:drawing>
        <wp:anchor distT="0" distB="0" distL="114300" distR="114300" simplePos="0" relativeHeight="251661312" behindDoc="1" locked="0" layoutInCell="1" allowOverlap="1" wp14:anchorId="133F4D57" wp14:editId="7E86C7FC">
          <wp:simplePos x="0" y="0"/>
          <wp:positionH relativeFrom="column">
            <wp:posOffset>6399530</wp:posOffset>
          </wp:positionH>
          <wp:positionV relativeFrom="paragraph">
            <wp:posOffset>-4445</wp:posOffset>
          </wp:positionV>
          <wp:extent cx="916247" cy="100787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16247" cy="10078717"/>
                  </a:xfrm>
                  <a:prstGeom prst="rect">
                    <a:avLst/>
                  </a:prstGeom>
                </pic:spPr>
              </pic:pic>
            </a:graphicData>
          </a:graphic>
          <wp14:sizeRelH relativeFrom="page">
            <wp14:pctWidth>0</wp14:pctWidth>
          </wp14:sizeRelH>
          <wp14:sizeRelV relativeFrom="page">
            <wp14:pctHeight>0</wp14:pctHeight>
          </wp14:sizeRelV>
        </wp:anchor>
      </w:drawing>
    </w:r>
  </w:p>
  <w:p w14:paraId="3C770889" w14:textId="77777777" w:rsidR="004B7BF8" w:rsidRDefault="004B7B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A0D0" w14:textId="77777777" w:rsidR="00CD535A" w:rsidRDefault="00CD535A" w:rsidP="00AB2D5B">
    <w:pPr>
      <w:pStyle w:val="Title"/>
    </w:pPr>
    <w:r w:rsidRPr="00CD535A">
      <w:rPr>
        <w:noProof/>
      </w:rPr>
      <w:drawing>
        <wp:anchor distT="0" distB="0" distL="114300" distR="114300" simplePos="0" relativeHeight="251660288" behindDoc="1" locked="0" layoutInCell="1" allowOverlap="1" wp14:anchorId="03888E47" wp14:editId="28C6DEBA">
          <wp:simplePos x="0" y="0"/>
          <wp:positionH relativeFrom="margin">
            <wp:posOffset>-913765</wp:posOffset>
          </wp:positionH>
          <wp:positionV relativeFrom="paragraph">
            <wp:posOffset>-193040</wp:posOffset>
          </wp:positionV>
          <wp:extent cx="7773646" cy="914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3646" cy="914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325DA9"/>
    <w:multiLevelType w:val="hybridMultilevel"/>
    <w:tmpl w:val="13F032E4"/>
    <w:lvl w:ilvl="0" w:tplc="DC5429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1E4577"/>
    <w:multiLevelType w:val="hybridMultilevel"/>
    <w:tmpl w:val="2C4A57A6"/>
    <w:lvl w:ilvl="0" w:tplc="E2429964">
      <w:start w:val="1"/>
      <w:numFmt w:val="bullet"/>
      <w:pStyle w:val="ListParagraph"/>
      <w:lvlText w:val=""/>
      <w:lvlJc w:val="left"/>
      <w:pPr>
        <w:ind w:left="720" w:hanging="360"/>
      </w:pPr>
      <w:rPr>
        <w:rFonts w:ascii="Symbol" w:hAnsi="Symbol" w:hint="default"/>
        <w:color w:val="2670A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576"/>
    <w:rsid w:val="00000B75"/>
    <w:rsid w:val="000011D4"/>
    <w:rsid w:val="00026863"/>
    <w:rsid w:val="0003526B"/>
    <w:rsid w:val="00062576"/>
    <w:rsid w:val="000663BF"/>
    <w:rsid w:val="00073220"/>
    <w:rsid w:val="000859AB"/>
    <w:rsid w:val="0009163E"/>
    <w:rsid w:val="00097E2E"/>
    <w:rsid w:val="000A0F76"/>
    <w:rsid w:val="000C3E91"/>
    <w:rsid w:val="000C459C"/>
    <w:rsid w:val="000F0662"/>
    <w:rsid w:val="000F1A29"/>
    <w:rsid w:val="001275F2"/>
    <w:rsid w:val="00141D9C"/>
    <w:rsid w:val="00170009"/>
    <w:rsid w:val="001739BF"/>
    <w:rsid w:val="0018531D"/>
    <w:rsid w:val="001B0939"/>
    <w:rsid w:val="001B7A89"/>
    <w:rsid w:val="001B7BEA"/>
    <w:rsid w:val="001F78D0"/>
    <w:rsid w:val="00207821"/>
    <w:rsid w:val="0021081B"/>
    <w:rsid w:val="002355D5"/>
    <w:rsid w:val="00242DD9"/>
    <w:rsid w:val="00290D52"/>
    <w:rsid w:val="00293E6F"/>
    <w:rsid w:val="00295004"/>
    <w:rsid w:val="002A4BF6"/>
    <w:rsid w:val="002A67AD"/>
    <w:rsid w:val="002C33B7"/>
    <w:rsid w:val="002E76EC"/>
    <w:rsid w:val="002F7616"/>
    <w:rsid w:val="002F778A"/>
    <w:rsid w:val="00302CEE"/>
    <w:rsid w:val="00337946"/>
    <w:rsid w:val="00350241"/>
    <w:rsid w:val="00353511"/>
    <w:rsid w:val="0035701F"/>
    <w:rsid w:val="003A2AE6"/>
    <w:rsid w:val="003C5AB8"/>
    <w:rsid w:val="003E6471"/>
    <w:rsid w:val="003F7867"/>
    <w:rsid w:val="004178A3"/>
    <w:rsid w:val="0042628B"/>
    <w:rsid w:val="00426D6D"/>
    <w:rsid w:val="00430DC4"/>
    <w:rsid w:val="00436497"/>
    <w:rsid w:val="00442EA5"/>
    <w:rsid w:val="00444630"/>
    <w:rsid w:val="00485D0F"/>
    <w:rsid w:val="004929EA"/>
    <w:rsid w:val="004B7BF8"/>
    <w:rsid w:val="004F0895"/>
    <w:rsid w:val="004F44AC"/>
    <w:rsid w:val="00507477"/>
    <w:rsid w:val="00507C46"/>
    <w:rsid w:val="00520FEE"/>
    <w:rsid w:val="005525E5"/>
    <w:rsid w:val="00553D11"/>
    <w:rsid w:val="00593E31"/>
    <w:rsid w:val="005A0162"/>
    <w:rsid w:val="005D2EF2"/>
    <w:rsid w:val="005E0FF8"/>
    <w:rsid w:val="005F45ED"/>
    <w:rsid w:val="0062295D"/>
    <w:rsid w:val="00632A74"/>
    <w:rsid w:val="006466CE"/>
    <w:rsid w:val="0067237D"/>
    <w:rsid w:val="006840E4"/>
    <w:rsid w:val="006900F6"/>
    <w:rsid w:val="00693169"/>
    <w:rsid w:val="006B6588"/>
    <w:rsid w:val="006C151B"/>
    <w:rsid w:val="006C61A0"/>
    <w:rsid w:val="006D5CF1"/>
    <w:rsid w:val="006E255C"/>
    <w:rsid w:val="006F20CB"/>
    <w:rsid w:val="006F6D11"/>
    <w:rsid w:val="00722F26"/>
    <w:rsid w:val="0072627A"/>
    <w:rsid w:val="00731FDF"/>
    <w:rsid w:val="0073587E"/>
    <w:rsid w:val="007455CF"/>
    <w:rsid w:val="0074788F"/>
    <w:rsid w:val="00755D7F"/>
    <w:rsid w:val="007949EC"/>
    <w:rsid w:val="007B6C67"/>
    <w:rsid w:val="007C2453"/>
    <w:rsid w:val="007C7739"/>
    <w:rsid w:val="007D26E9"/>
    <w:rsid w:val="007D5F95"/>
    <w:rsid w:val="007E7779"/>
    <w:rsid w:val="00807FAD"/>
    <w:rsid w:val="00811FA3"/>
    <w:rsid w:val="00815D19"/>
    <w:rsid w:val="0082498E"/>
    <w:rsid w:val="00824DFE"/>
    <w:rsid w:val="008350FE"/>
    <w:rsid w:val="00867651"/>
    <w:rsid w:val="008729A6"/>
    <w:rsid w:val="00882AFD"/>
    <w:rsid w:val="0089314A"/>
    <w:rsid w:val="00897113"/>
    <w:rsid w:val="008B040D"/>
    <w:rsid w:val="008B1E88"/>
    <w:rsid w:val="009167A5"/>
    <w:rsid w:val="0092623B"/>
    <w:rsid w:val="009306C8"/>
    <w:rsid w:val="0095790C"/>
    <w:rsid w:val="00972FF8"/>
    <w:rsid w:val="009947C8"/>
    <w:rsid w:val="009E5850"/>
    <w:rsid w:val="009F302A"/>
    <w:rsid w:val="009F74E5"/>
    <w:rsid w:val="00A158E3"/>
    <w:rsid w:val="00A15CDE"/>
    <w:rsid w:val="00A40920"/>
    <w:rsid w:val="00A62CFE"/>
    <w:rsid w:val="00A7111D"/>
    <w:rsid w:val="00A75275"/>
    <w:rsid w:val="00A82764"/>
    <w:rsid w:val="00A83984"/>
    <w:rsid w:val="00A845C4"/>
    <w:rsid w:val="00A85096"/>
    <w:rsid w:val="00A853BC"/>
    <w:rsid w:val="00A87615"/>
    <w:rsid w:val="00AB18B7"/>
    <w:rsid w:val="00AB2D5B"/>
    <w:rsid w:val="00AD7069"/>
    <w:rsid w:val="00AE1E8C"/>
    <w:rsid w:val="00AF0F87"/>
    <w:rsid w:val="00B0380E"/>
    <w:rsid w:val="00B16AA6"/>
    <w:rsid w:val="00B20A04"/>
    <w:rsid w:val="00B7199E"/>
    <w:rsid w:val="00B942B4"/>
    <w:rsid w:val="00BA5EA0"/>
    <w:rsid w:val="00BC6D81"/>
    <w:rsid w:val="00BD071F"/>
    <w:rsid w:val="00BD604E"/>
    <w:rsid w:val="00BE4C31"/>
    <w:rsid w:val="00C00713"/>
    <w:rsid w:val="00C0588B"/>
    <w:rsid w:val="00C277D3"/>
    <w:rsid w:val="00C36C86"/>
    <w:rsid w:val="00C5291C"/>
    <w:rsid w:val="00C62B1B"/>
    <w:rsid w:val="00C73FA4"/>
    <w:rsid w:val="00C85668"/>
    <w:rsid w:val="00C877BD"/>
    <w:rsid w:val="00C90E78"/>
    <w:rsid w:val="00C94D8E"/>
    <w:rsid w:val="00C94FD7"/>
    <w:rsid w:val="00CB4CEE"/>
    <w:rsid w:val="00CD18F9"/>
    <w:rsid w:val="00CD535A"/>
    <w:rsid w:val="00CE5270"/>
    <w:rsid w:val="00D030BA"/>
    <w:rsid w:val="00D308F7"/>
    <w:rsid w:val="00D379BC"/>
    <w:rsid w:val="00D37AA4"/>
    <w:rsid w:val="00D440BE"/>
    <w:rsid w:val="00D76D9D"/>
    <w:rsid w:val="00D91656"/>
    <w:rsid w:val="00D959DF"/>
    <w:rsid w:val="00DA794B"/>
    <w:rsid w:val="00DD2B1F"/>
    <w:rsid w:val="00DE2260"/>
    <w:rsid w:val="00E371AE"/>
    <w:rsid w:val="00E774DA"/>
    <w:rsid w:val="00E940AD"/>
    <w:rsid w:val="00E944F4"/>
    <w:rsid w:val="00E97A1D"/>
    <w:rsid w:val="00E97C3A"/>
    <w:rsid w:val="00EE23C8"/>
    <w:rsid w:val="00EE6453"/>
    <w:rsid w:val="00F25AB1"/>
    <w:rsid w:val="00F71E06"/>
    <w:rsid w:val="00F76D66"/>
    <w:rsid w:val="00FA0D43"/>
    <w:rsid w:val="00FC0579"/>
    <w:rsid w:val="00FD2BCD"/>
    <w:rsid w:val="00FD6BDC"/>
    <w:rsid w:val="00FE2E5A"/>
    <w:rsid w:val="00FF1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FBFAB0"/>
  <w15:chartTrackingRefBased/>
  <w15:docId w15:val="{5F3B5109-1AFD-254F-AFB0-FBFF50218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71F"/>
    <w:pPr>
      <w:spacing w:before="240" w:after="240"/>
    </w:pPr>
  </w:style>
  <w:style w:type="paragraph" w:styleId="Heading1">
    <w:name w:val="heading 1"/>
    <w:basedOn w:val="Normal"/>
    <w:next w:val="Normal"/>
    <w:link w:val="Heading1Char"/>
    <w:uiPriority w:val="9"/>
    <w:qFormat/>
    <w:rsid w:val="00BD071F"/>
    <w:pPr>
      <w:keepNext/>
      <w:keepLines/>
      <w:spacing w:before="360" w:after="120"/>
      <w:outlineLvl w:val="0"/>
    </w:pPr>
    <w:rPr>
      <w:rFonts w:asciiTheme="majorHAnsi" w:eastAsiaTheme="majorEastAsia" w:hAnsiTheme="majorHAnsi" w:cstheme="majorBidi"/>
      <w:b/>
      <w:color w:val="2670AA"/>
      <w:sz w:val="32"/>
      <w:szCs w:val="32"/>
    </w:rPr>
  </w:style>
  <w:style w:type="paragraph" w:styleId="Heading2">
    <w:name w:val="heading 2"/>
    <w:basedOn w:val="Normal"/>
    <w:next w:val="Normal"/>
    <w:link w:val="Heading2Char"/>
    <w:uiPriority w:val="9"/>
    <w:unhideWhenUsed/>
    <w:qFormat/>
    <w:rsid w:val="00FF1A86"/>
    <w:pPr>
      <w:keepNext/>
      <w:keepLines/>
      <w:spacing w:before="40" w:after="0"/>
      <w:outlineLvl w:val="1"/>
    </w:pPr>
    <w:rPr>
      <w:rFonts w:asciiTheme="majorHAnsi" w:eastAsiaTheme="majorEastAsia" w:hAnsiTheme="majorHAnsi" w:cstheme="majorBidi"/>
      <w:b/>
      <w:color w:val="393A39"/>
      <w:sz w:val="28"/>
      <w:szCs w:val="26"/>
    </w:rPr>
  </w:style>
  <w:style w:type="paragraph" w:styleId="Heading3">
    <w:name w:val="heading 3"/>
    <w:basedOn w:val="Normal"/>
    <w:next w:val="Normal"/>
    <w:link w:val="Heading3Char"/>
    <w:uiPriority w:val="9"/>
    <w:unhideWhenUsed/>
    <w:qFormat/>
    <w:rsid w:val="0003526B"/>
    <w:pPr>
      <w:keepNext/>
      <w:keepLines/>
      <w:spacing w:before="40" w:after="0"/>
      <w:outlineLvl w:val="2"/>
    </w:pPr>
    <w:rPr>
      <w:rFonts w:asciiTheme="majorHAnsi" w:eastAsiaTheme="majorEastAsia" w:hAnsiTheme="majorHAnsi" w:cstheme="majorBidi"/>
      <w:color w:val="393A39"/>
      <w:sz w:val="28"/>
      <w:szCs w:val="28"/>
    </w:rPr>
  </w:style>
  <w:style w:type="paragraph" w:styleId="Heading4">
    <w:name w:val="heading 4"/>
    <w:basedOn w:val="Heading3"/>
    <w:next w:val="Normal"/>
    <w:link w:val="Heading4Char"/>
    <w:uiPriority w:val="9"/>
    <w:unhideWhenUsed/>
    <w:qFormat/>
    <w:rsid w:val="0003526B"/>
    <w:pPr>
      <w:outlineLvl w:val="3"/>
    </w:pPr>
    <w:rPr>
      <w:sz w:val="24"/>
      <w:szCs w:val="24"/>
    </w:rPr>
  </w:style>
  <w:style w:type="paragraph" w:styleId="Heading5">
    <w:name w:val="heading 5"/>
    <w:basedOn w:val="Normal"/>
    <w:next w:val="Normal"/>
    <w:link w:val="Heading5Char"/>
    <w:uiPriority w:val="9"/>
    <w:unhideWhenUsed/>
    <w:qFormat/>
    <w:rsid w:val="0003526B"/>
    <w:pPr>
      <w:keepNext/>
      <w:keepLines/>
      <w:spacing w:before="40" w:after="0"/>
      <w:outlineLvl w:val="4"/>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26B"/>
    <w:pPr>
      <w:numPr>
        <w:numId w:val="2"/>
      </w:numPr>
      <w:suppressAutoHyphens/>
      <w:spacing w:line="276" w:lineRule="auto"/>
    </w:pPr>
  </w:style>
  <w:style w:type="paragraph" w:styleId="Header">
    <w:name w:val="header"/>
    <w:basedOn w:val="Normal"/>
    <w:link w:val="HeaderChar"/>
    <w:uiPriority w:val="99"/>
    <w:unhideWhenUsed/>
    <w:rsid w:val="00062576"/>
    <w:pPr>
      <w:tabs>
        <w:tab w:val="center" w:pos="4680"/>
        <w:tab w:val="right" w:pos="9360"/>
      </w:tabs>
    </w:pPr>
  </w:style>
  <w:style w:type="character" w:customStyle="1" w:styleId="HeaderChar">
    <w:name w:val="Header Char"/>
    <w:basedOn w:val="DefaultParagraphFont"/>
    <w:link w:val="Header"/>
    <w:uiPriority w:val="99"/>
    <w:rsid w:val="00062576"/>
  </w:style>
  <w:style w:type="paragraph" w:styleId="Footer">
    <w:name w:val="footer"/>
    <w:basedOn w:val="Normal"/>
    <w:link w:val="FooterChar"/>
    <w:uiPriority w:val="99"/>
    <w:unhideWhenUsed/>
    <w:rsid w:val="00FF1A86"/>
    <w:pPr>
      <w:tabs>
        <w:tab w:val="center" w:pos="4680"/>
        <w:tab w:val="right" w:pos="9360"/>
      </w:tabs>
      <w:spacing w:before="0" w:after="0"/>
      <w:ind w:right="360"/>
    </w:pPr>
    <w:rPr>
      <w:b/>
      <w:color w:val="868786"/>
      <w:sz w:val="22"/>
      <w:szCs w:val="32"/>
    </w:rPr>
  </w:style>
  <w:style w:type="character" w:customStyle="1" w:styleId="FooterChar">
    <w:name w:val="Footer Char"/>
    <w:basedOn w:val="DefaultParagraphFont"/>
    <w:link w:val="Footer"/>
    <w:uiPriority w:val="99"/>
    <w:rsid w:val="00FF1A86"/>
    <w:rPr>
      <w:b/>
      <w:color w:val="868786"/>
      <w:sz w:val="22"/>
      <w:szCs w:val="32"/>
    </w:rPr>
  </w:style>
  <w:style w:type="paragraph" w:styleId="Title">
    <w:name w:val="Title"/>
    <w:basedOn w:val="Normal"/>
    <w:next w:val="Normal"/>
    <w:link w:val="TitleChar"/>
    <w:uiPriority w:val="10"/>
    <w:qFormat/>
    <w:rsid w:val="00AB2D5B"/>
    <w:pPr>
      <w:spacing w:before="0"/>
      <w:contextualSpacing/>
    </w:pPr>
    <w:rPr>
      <w:rFonts w:ascii="Arial Black" w:eastAsiaTheme="majorEastAsia" w:hAnsi="Arial Black" w:cstheme="majorBidi"/>
      <w:b/>
      <w:bCs/>
      <w:color w:val="2670AA"/>
      <w:spacing w:val="-10"/>
      <w:kern w:val="28"/>
      <w:sz w:val="56"/>
      <w:szCs w:val="56"/>
    </w:rPr>
  </w:style>
  <w:style w:type="character" w:customStyle="1" w:styleId="TitleChar">
    <w:name w:val="Title Char"/>
    <w:basedOn w:val="DefaultParagraphFont"/>
    <w:link w:val="Title"/>
    <w:uiPriority w:val="10"/>
    <w:rsid w:val="00AB2D5B"/>
    <w:rPr>
      <w:rFonts w:ascii="Arial Black" w:eastAsiaTheme="majorEastAsia" w:hAnsi="Arial Black" w:cstheme="majorBidi"/>
      <w:b/>
      <w:bCs/>
      <w:color w:val="2670AA"/>
      <w:spacing w:val="-10"/>
      <w:kern w:val="28"/>
      <w:sz w:val="56"/>
      <w:szCs w:val="56"/>
    </w:rPr>
  </w:style>
  <w:style w:type="character" w:styleId="Strong">
    <w:name w:val="Strong"/>
    <w:basedOn w:val="DefaultParagraphFont"/>
    <w:uiPriority w:val="22"/>
    <w:qFormat/>
    <w:rsid w:val="00CD535A"/>
    <w:rPr>
      <w:b/>
      <w:bCs/>
    </w:rPr>
  </w:style>
  <w:style w:type="character" w:customStyle="1" w:styleId="Heading1Char">
    <w:name w:val="Heading 1 Char"/>
    <w:basedOn w:val="DefaultParagraphFont"/>
    <w:link w:val="Heading1"/>
    <w:uiPriority w:val="9"/>
    <w:rsid w:val="00BD071F"/>
    <w:rPr>
      <w:rFonts w:asciiTheme="majorHAnsi" w:eastAsiaTheme="majorEastAsia" w:hAnsiTheme="majorHAnsi" w:cstheme="majorBidi"/>
      <w:b/>
      <w:color w:val="2670AA"/>
      <w:sz w:val="32"/>
      <w:szCs w:val="32"/>
    </w:rPr>
  </w:style>
  <w:style w:type="character" w:customStyle="1" w:styleId="Heading2Char">
    <w:name w:val="Heading 2 Char"/>
    <w:basedOn w:val="DefaultParagraphFont"/>
    <w:link w:val="Heading2"/>
    <w:uiPriority w:val="9"/>
    <w:rsid w:val="00FF1A86"/>
    <w:rPr>
      <w:rFonts w:asciiTheme="majorHAnsi" w:eastAsiaTheme="majorEastAsia" w:hAnsiTheme="majorHAnsi" w:cstheme="majorBidi"/>
      <w:b/>
      <w:color w:val="393A39"/>
      <w:sz w:val="28"/>
      <w:szCs w:val="26"/>
    </w:rPr>
  </w:style>
  <w:style w:type="character" w:styleId="PageNumber">
    <w:name w:val="page number"/>
    <w:basedOn w:val="DefaultParagraphFont"/>
    <w:uiPriority w:val="99"/>
    <w:semiHidden/>
    <w:unhideWhenUsed/>
    <w:rsid w:val="00FF1A86"/>
  </w:style>
  <w:style w:type="paragraph" w:customStyle="1" w:styleId="BasicParagraph">
    <w:name w:val="[Basic Paragraph]"/>
    <w:basedOn w:val="Normal"/>
    <w:uiPriority w:val="99"/>
    <w:rsid w:val="00867651"/>
    <w:pPr>
      <w:autoSpaceDE w:val="0"/>
      <w:autoSpaceDN w:val="0"/>
      <w:adjustRightInd w:val="0"/>
      <w:spacing w:before="0" w:after="0" w:line="288" w:lineRule="auto"/>
      <w:textAlignment w:val="center"/>
    </w:pPr>
    <w:rPr>
      <w:rFonts w:ascii="MinionPro-Regular" w:hAnsi="MinionPro-Regular" w:cs="MinionPro-Regular"/>
      <w:color w:val="000000"/>
    </w:rPr>
  </w:style>
  <w:style w:type="character" w:styleId="IntenseEmphasis">
    <w:name w:val="Intense Emphasis"/>
    <w:basedOn w:val="DefaultParagraphFont"/>
    <w:uiPriority w:val="21"/>
    <w:qFormat/>
    <w:rsid w:val="0003526B"/>
    <w:rPr>
      <w:i/>
      <w:iCs/>
      <w:color w:val="2670AA"/>
    </w:rPr>
  </w:style>
  <w:style w:type="character" w:styleId="IntenseReference">
    <w:name w:val="Intense Reference"/>
    <w:basedOn w:val="DefaultParagraphFont"/>
    <w:uiPriority w:val="32"/>
    <w:qFormat/>
    <w:rsid w:val="0003526B"/>
    <w:rPr>
      <w:b/>
      <w:bCs/>
      <w:smallCaps/>
      <w:color w:val="2670AA"/>
      <w:spacing w:val="5"/>
    </w:rPr>
  </w:style>
  <w:style w:type="paragraph" w:styleId="Quote">
    <w:name w:val="Quote"/>
    <w:basedOn w:val="Normal"/>
    <w:next w:val="Normal"/>
    <w:link w:val="QuoteChar"/>
    <w:uiPriority w:val="29"/>
    <w:qFormat/>
    <w:rsid w:val="0003526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3526B"/>
    <w:rPr>
      <w:i/>
      <w:iCs/>
      <w:color w:val="404040" w:themeColor="text1" w:themeTint="BF"/>
    </w:rPr>
  </w:style>
  <w:style w:type="paragraph" w:styleId="IntenseQuote">
    <w:name w:val="Intense Quote"/>
    <w:basedOn w:val="Normal"/>
    <w:next w:val="Normal"/>
    <w:link w:val="IntenseQuoteChar"/>
    <w:uiPriority w:val="30"/>
    <w:qFormat/>
    <w:rsid w:val="0003526B"/>
    <w:pPr>
      <w:pBdr>
        <w:top w:val="single" w:sz="4" w:space="10" w:color="4472C4" w:themeColor="accent1"/>
        <w:bottom w:val="single" w:sz="4" w:space="10" w:color="4472C4" w:themeColor="accent1"/>
      </w:pBdr>
      <w:spacing w:before="360" w:after="360"/>
      <w:ind w:left="864" w:right="864"/>
      <w:jc w:val="center"/>
    </w:pPr>
    <w:rPr>
      <w:i/>
      <w:iCs/>
      <w:color w:val="2670AA"/>
    </w:rPr>
  </w:style>
  <w:style w:type="character" w:customStyle="1" w:styleId="IntenseQuoteChar">
    <w:name w:val="Intense Quote Char"/>
    <w:basedOn w:val="DefaultParagraphFont"/>
    <w:link w:val="IntenseQuote"/>
    <w:uiPriority w:val="30"/>
    <w:rsid w:val="0003526B"/>
    <w:rPr>
      <w:i/>
      <w:iCs/>
      <w:color w:val="2670AA"/>
    </w:rPr>
  </w:style>
  <w:style w:type="character" w:customStyle="1" w:styleId="Heading3Char">
    <w:name w:val="Heading 3 Char"/>
    <w:basedOn w:val="DefaultParagraphFont"/>
    <w:link w:val="Heading3"/>
    <w:uiPriority w:val="9"/>
    <w:rsid w:val="0003526B"/>
    <w:rPr>
      <w:rFonts w:asciiTheme="majorHAnsi" w:eastAsiaTheme="majorEastAsia" w:hAnsiTheme="majorHAnsi" w:cstheme="majorBidi"/>
      <w:color w:val="393A39"/>
      <w:sz w:val="28"/>
      <w:szCs w:val="28"/>
    </w:rPr>
  </w:style>
  <w:style w:type="character" w:customStyle="1" w:styleId="Heading4Char">
    <w:name w:val="Heading 4 Char"/>
    <w:basedOn w:val="DefaultParagraphFont"/>
    <w:link w:val="Heading4"/>
    <w:uiPriority w:val="9"/>
    <w:rsid w:val="0003526B"/>
    <w:rPr>
      <w:rFonts w:asciiTheme="majorHAnsi" w:eastAsiaTheme="majorEastAsia" w:hAnsiTheme="majorHAnsi" w:cstheme="majorBidi"/>
      <w:color w:val="393A39"/>
    </w:rPr>
  </w:style>
  <w:style w:type="character" w:customStyle="1" w:styleId="Heading5Char">
    <w:name w:val="Heading 5 Char"/>
    <w:basedOn w:val="DefaultParagraphFont"/>
    <w:link w:val="Heading5"/>
    <w:uiPriority w:val="9"/>
    <w:rsid w:val="0003526B"/>
    <w:rPr>
      <w:rFonts w:asciiTheme="majorHAnsi" w:eastAsiaTheme="majorEastAsia" w:hAnsiTheme="majorHAnsi" w:cstheme="majorBidi"/>
      <w:color w:val="000000" w:themeColor="text1"/>
    </w:rPr>
  </w:style>
  <w:style w:type="character" w:styleId="SubtleReference">
    <w:name w:val="Subtle Reference"/>
    <w:basedOn w:val="DefaultParagraphFont"/>
    <w:uiPriority w:val="31"/>
    <w:qFormat/>
    <w:rsid w:val="000C3E91"/>
    <w:rPr>
      <w:smallCaps/>
      <w:color w:val="5A5A5A" w:themeColor="text1" w:themeTint="A5"/>
    </w:rPr>
  </w:style>
  <w:style w:type="character" w:styleId="Hyperlink">
    <w:name w:val="Hyperlink"/>
    <w:basedOn w:val="DefaultParagraphFont"/>
    <w:uiPriority w:val="99"/>
    <w:unhideWhenUsed/>
    <w:rsid w:val="007C7739"/>
    <w:rPr>
      <w:color w:val="0563C1" w:themeColor="hyperlink"/>
      <w:u w:val="single"/>
    </w:rPr>
  </w:style>
  <w:style w:type="character" w:styleId="UnresolvedMention">
    <w:name w:val="Unresolved Mention"/>
    <w:basedOn w:val="DefaultParagraphFont"/>
    <w:uiPriority w:val="99"/>
    <w:semiHidden/>
    <w:unhideWhenUsed/>
    <w:rsid w:val="007C77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dqr@sde.ok.gov"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C0F039C9F56664A88D0101173A42059" ma:contentTypeVersion="9" ma:contentTypeDescription="Create a new document." ma:contentTypeScope="" ma:versionID="77f692baa54a836138e8c09d991b2015">
  <xsd:schema xmlns:xsd="http://www.w3.org/2001/XMLSchema" xmlns:xs="http://www.w3.org/2001/XMLSchema" xmlns:p="http://schemas.microsoft.com/office/2006/metadata/properties" xmlns:ns2="d5841c04-8ab1-45d0-a7a9-3e2ef1eb0f19" xmlns:ns3="3a219bbd-8a6c-470c-9a77-55c48485a5eb" targetNamespace="http://schemas.microsoft.com/office/2006/metadata/properties" ma:root="true" ma:fieldsID="f0dd72d9d50abf45761025aa60c3fa75" ns2:_="" ns3:_="">
    <xsd:import namespace="d5841c04-8ab1-45d0-a7a9-3e2ef1eb0f19"/>
    <xsd:import namespace="3a219bbd-8a6c-470c-9a77-55c48485a5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41c04-8ab1-45d0-a7a9-3e2ef1eb0f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219bbd-8a6c-470c-9a77-55c48485a5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F96B34-D0DF-489B-B628-2FA7102C9359}">
  <ds:schemaRefs>
    <ds:schemaRef ds:uri="http://schemas.microsoft.com/sharepoint/v3/contenttype/forms"/>
  </ds:schemaRefs>
</ds:datastoreItem>
</file>

<file path=customXml/itemProps2.xml><?xml version="1.0" encoding="utf-8"?>
<ds:datastoreItem xmlns:ds="http://schemas.openxmlformats.org/officeDocument/2006/customXml" ds:itemID="{5BECB7F1-FAD9-5B4F-B97B-724B9579C132}">
  <ds:schemaRefs>
    <ds:schemaRef ds:uri="http://schemas.openxmlformats.org/officeDocument/2006/bibliography"/>
  </ds:schemaRefs>
</ds:datastoreItem>
</file>

<file path=customXml/itemProps3.xml><?xml version="1.0" encoding="utf-8"?>
<ds:datastoreItem xmlns:ds="http://schemas.openxmlformats.org/officeDocument/2006/customXml" ds:itemID="{791AF510-DA2E-4299-BF19-8DAB19B203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41c04-8ab1-45d0-a7a9-3e2ef1eb0f19"/>
    <ds:schemaRef ds:uri="3a219bbd-8a6c-470c-9a77-55c48485a5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B5CB92-D68A-4477-9781-2D6BDE97F7C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Cory Ingram</dc:creator>
  <cp:keywords/>
  <dc:description/>
  <cp:lastModifiedBy>Michael Tamborski</cp:lastModifiedBy>
  <cp:revision>2</cp:revision>
  <dcterms:created xsi:type="dcterms:W3CDTF">2022-04-07T18:59:00Z</dcterms:created>
  <dcterms:modified xsi:type="dcterms:W3CDTF">2022-04-07T18:59:00Z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0x0101000C0F039C9F56664A88D0101173A42059</vt:lpwstr>
  </property>
</Properties>
</file>